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2E4C4" w14:textId="77777777" w:rsidR="00D76792" w:rsidRPr="00D746E1" w:rsidRDefault="00C11172" w:rsidP="00D746E1">
      <w:pPr>
        <w:jc w:val="center"/>
        <w:rPr>
          <w:b/>
        </w:rPr>
      </w:pPr>
      <w:r w:rsidRPr="00D746E1">
        <w:rPr>
          <w:b/>
        </w:rPr>
        <w:t>Discussion Questions</w:t>
      </w:r>
    </w:p>
    <w:p w14:paraId="25066DEE" w14:textId="71FF21A7" w:rsidR="00D76792" w:rsidRPr="00F440E2" w:rsidRDefault="00D76792" w:rsidP="00F440E2">
      <w:pPr>
        <w:jc w:val="center"/>
        <w:rPr>
          <w:b/>
        </w:rPr>
      </w:pPr>
      <w:r w:rsidRPr="00F440E2">
        <w:rPr>
          <w:b/>
        </w:rPr>
        <w:t>Workshop on Self-Generation Incentive Program Greenhouse Gas Staff Proposal</w:t>
      </w:r>
    </w:p>
    <w:p w14:paraId="7EDAEC2D" w14:textId="75E3295D" w:rsidR="00C11172" w:rsidRPr="00F440E2" w:rsidRDefault="00D76792" w:rsidP="00F440E2">
      <w:pPr>
        <w:jc w:val="center"/>
      </w:pPr>
      <w:r w:rsidRPr="00F440E2">
        <w:t>October 22, 2018</w:t>
      </w:r>
    </w:p>
    <w:p w14:paraId="26B6C5C7" w14:textId="4CCE39D6" w:rsidR="00651302" w:rsidRDefault="00651302" w:rsidP="00651302"/>
    <w:p w14:paraId="1E8D98B7" w14:textId="612E304A" w:rsidR="00651302" w:rsidRPr="00D76792" w:rsidRDefault="00651302" w:rsidP="00651302">
      <w:r>
        <w:t xml:space="preserve">The following questions are </w:t>
      </w:r>
      <w:r w:rsidR="001F319A">
        <w:t>designed</w:t>
      </w:r>
      <w:r>
        <w:t xml:space="preserve"> to </w:t>
      </w:r>
      <w:r w:rsidR="001F319A">
        <w:t>support</w:t>
      </w:r>
      <w:r>
        <w:t xml:space="preserve"> the Commission</w:t>
      </w:r>
      <w:r w:rsidR="001F319A">
        <w:t xml:space="preserve">’s evaluation of </w:t>
      </w:r>
      <w:r>
        <w:t xml:space="preserve">different options for new SGIP GHG rules. Workshop participants are asked to review these questions prior to the workshop and come prepared to respond. </w:t>
      </w:r>
      <w:r w:rsidR="001F319A">
        <w:t>This list of questions is not exhaustive, and s</w:t>
      </w:r>
      <w:r>
        <w:t>taff</w:t>
      </w:r>
      <w:r w:rsidR="00B369A2">
        <w:t xml:space="preserve"> and workshop participants</w:t>
      </w:r>
      <w:r>
        <w:t xml:space="preserve"> may</w:t>
      </w:r>
      <w:r w:rsidR="001F319A">
        <w:t xml:space="preserve"> pose additional</w:t>
      </w:r>
      <w:r>
        <w:t xml:space="preserve"> questions</w:t>
      </w:r>
      <w:r w:rsidR="001F319A">
        <w:t xml:space="preserve"> </w:t>
      </w:r>
      <w:r>
        <w:t>during the workshop.</w:t>
      </w:r>
      <w:r w:rsidR="006D17DA">
        <w:t xml:space="preserve">  Reference to parties’ comments is not intended to be exhaustive.</w:t>
      </w:r>
    </w:p>
    <w:p w14:paraId="2FA37049" w14:textId="77777777" w:rsidR="00C11172" w:rsidRDefault="00C11172" w:rsidP="00C11172">
      <w:pPr>
        <w:jc w:val="center"/>
        <w:rPr>
          <w:b/>
        </w:rPr>
      </w:pPr>
    </w:p>
    <w:p w14:paraId="2C1776C3" w14:textId="1650302C" w:rsidR="00C11172" w:rsidRPr="00C11172" w:rsidRDefault="00C11172" w:rsidP="00F440E2">
      <w:pPr>
        <w:pStyle w:val="Heading2"/>
      </w:pPr>
      <w:r w:rsidRPr="00C11172">
        <w:t>Discussion Session: New Commercial Projects</w:t>
      </w:r>
    </w:p>
    <w:p w14:paraId="7EC3C909" w14:textId="77777777" w:rsidR="00D746E1" w:rsidRDefault="00D746E1" w:rsidP="00C11172">
      <w:pPr>
        <w:rPr>
          <w:i/>
        </w:rPr>
      </w:pPr>
    </w:p>
    <w:p w14:paraId="0887DD4F" w14:textId="685778D7" w:rsidR="00C11172" w:rsidRPr="00E614EA" w:rsidRDefault="00C11172" w:rsidP="00C11172">
      <w:pPr>
        <w:rPr>
          <w:i/>
        </w:rPr>
      </w:pPr>
      <w:r w:rsidRPr="00E614EA">
        <w:rPr>
          <w:i/>
        </w:rPr>
        <w:t xml:space="preserve">Regarding </w:t>
      </w:r>
      <w:r w:rsidR="005613DE">
        <w:rPr>
          <w:i/>
        </w:rPr>
        <w:t>staff’s</w:t>
      </w:r>
      <w:r w:rsidRPr="00E614EA">
        <w:rPr>
          <w:i/>
        </w:rPr>
        <w:t xml:space="preserve"> </w:t>
      </w:r>
      <w:r w:rsidR="005613DE">
        <w:rPr>
          <w:i/>
        </w:rPr>
        <w:t>proposal</w:t>
      </w:r>
      <w:r w:rsidRPr="00E614EA">
        <w:rPr>
          <w:i/>
        </w:rPr>
        <w:t xml:space="preserve"> for </w:t>
      </w:r>
      <w:r w:rsidR="005613DE">
        <w:rPr>
          <w:i/>
        </w:rPr>
        <w:t xml:space="preserve">new commercial </w:t>
      </w:r>
      <w:r w:rsidRPr="00E614EA">
        <w:rPr>
          <w:i/>
        </w:rPr>
        <w:t xml:space="preserve">projects to reduce GHGs </w:t>
      </w:r>
      <w:r>
        <w:rPr>
          <w:i/>
        </w:rPr>
        <w:t xml:space="preserve">by at least </w:t>
      </w:r>
      <w:r w:rsidRPr="00E614EA">
        <w:rPr>
          <w:i/>
        </w:rPr>
        <w:t>25 kg/kWh to recoup full payment:</w:t>
      </w:r>
    </w:p>
    <w:p w14:paraId="5F41E4C8" w14:textId="77777777" w:rsidR="00C11172" w:rsidRDefault="00C11172" w:rsidP="00C11172"/>
    <w:p w14:paraId="7DF2B8A0" w14:textId="225C209A" w:rsidR="00C11172" w:rsidRPr="00447320" w:rsidRDefault="00C11172" w:rsidP="00D746E1">
      <w:pPr>
        <w:pStyle w:val="ListParagraph"/>
        <w:numPr>
          <w:ilvl w:val="1"/>
          <w:numId w:val="1"/>
        </w:numPr>
        <w:spacing w:after="120"/>
        <w:ind w:left="900" w:hanging="540"/>
        <w:contextualSpacing w:val="0"/>
      </w:pPr>
      <w:r>
        <w:t>SGIP projects are required by statute</w:t>
      </w:r>
      <w:r w:rsidR="005613DE">
        <w:rPr>
          <w:rStyle w:val="FootnoteReference"/>
        </w:rPr>
        <w:footnoteReference w:id="1"/>
      </w:r>
      <w:r>
        <w:t xml:space="preserve"> to </w:t>
      </w:r>
      <w:r w:rsidRPr="00447320">
        <w:rPr>
          <w:i/>
        </w:rPr>
        <w:t>reduce</w:t>
      </w:r>
      <w:r>
        <w:t xml:space="preserve"> GHGs, not achieve net zero GHGs</w:t>
      </w:r>
      <w:r w:rsidR="00DB3362">
        <w:t>.</w:t>
      </w:r>
      <w:r>
        <w:t xml:space="preserve"> </w:t>
      </w:r>
      <w:r w:rsidR="00DB3362">
        <w:t xml:space="preserve">In comments on the staff proposal, several parties note that </w:t>
      </w:r>
      <w:r>
        <w:t xml:space="preserve">SGIP also has other program goals, including market transformation, peak demand reduction, and providing grid services. </w:t>
      </w:r>
      <w:r w:rsidRPr="0094634A">
        <w:rPr>
          <w:b/>
        </w:rPr>
        <w:t>If the Commission were to require</w:t>
      </w:r>
      <w:r>
        <w:rPr>
          <w:b/>
        </w:rPr>
        <w:t xml:space="preserve"> </w:t>
      </w:r>
      <w:r w:rsidR="00DB3362">
        <w:rPr>
          <w:b/>
        </w:rPr>
        <w:t xml:space="preserve">each commercial SGIP </w:t>
      </w:r>
      <w:r>
        <w:rPr>
          <w:b/>
        </w:rPr>
        <w:t xml:space="preserve">project to </w:t>
      </w:r>
      <w:r w:rsidR="00DB3362">
        <w:rPr>
          <w:b/>
        </w:rPr>
        <w:t>demonstrate GHG reductions as a condition for PBI</w:t>
      </w:r>
      <w:r w:rsidRPr="0094634A">
        <w:rPr>
          <w:b/>
        </w:rPr>
        <w:t xml:space="preserve"> payment, what impact would that have on </w:t>
      </w:r>
      <w:r w:rsidR="00DB3362">
        <w:rPr>
          <w:b/>
        </w:rPr>
        <w:t xml:space="preserve">the </w:t>
      </w:r>
      <w:r w:rsidRPr="0094634A">
        <w:rPr>
          <w:b/>
        </w:rPr>
        <w:t>other program goals?</w:t>
      </w:r>
      <w:r>
        <w:rPr>
          <w:b/>
        </w:rPr>
        <w:t xml:space="preserve"> Please be specific and provide concrete examples where applicable.</w:t>
      </w:r>
    </w:p>
    <w:p w14:paraId="63A1C883" w14:textId="42EC00EB" w:rsidR="00C11172" w:rsidRDefault="00C11172" w:rsidP="00D746E1">
      <w:pPr>
        <w:pStyle w:val="ListParagraph"/>
        <w:numPr>
          <w:ilvl w:val="1"/>
          <w:numId w:val="1"/>
        </w:numPr>
        <w:spacing w:after="120"/>
        <w:ind w:left="900" w:hanging="540"/>
        <w:contextualSpacing w:val="0"/>
      </w:pPr>
      <w:r>
        <w:t xml:space="preserve">Citing Working Group (WG) </w:t>
      </w:r>
      <w:r w:rsidR="00AC0DB7">
        <w:t>and OSESMO</w:t>
      </w:r>
      <w:r w:rsidR="00C33BBE">
        <w:rPr>
          <w:rStyle w:val="FootnoteReference"/>
        </w:rPr>
        <w:footnoteReference w:id="2"/>
      </w:r>
      <w:r w:rsidR="00AC0DB7">
        <w:t xml:space="preserve"> </w:t>
      </w:r>
      <w:r>
        <w:t xml:space="preserve">modeling results, PG&amp;E questions </w:t>
      </w:r>
      <w:r w:rsidR="007602F2">
        <w:t>in its comments</w:t>
      </w:r>
      <w:r w:rsidR="007602F2">
        <w:rPr>
          <w:rStyle w:val="FootnoteReference"/>
        </w:rPr>
        <w:footnoteReference w:id="3"/>
      </w:r>
      <w:r w:rsidR="007602F2">
        <w:t xml:space="preserve"> </w:t>
      </w:r>
      <w:r>
        <w:t xml:space="preserve">whether projects could feasibly achieve 25 kg/kWh </w:t>
      </w:r>
      <w:r w:rsidR="00FB6033">
        <w:t>of</w:t>
      </w:r>
      <w:r>
        <w:t xml:space="preserve"> GHG reductions while optimizing for customer bill reductions, and instead proposed a 10 kg/kWh reduction threshold to recoup full payment. </w:t>
      </w:r>
    </w:p>
    <w:p w14:paraId="50962321" w14:textId="77777777" w:rsidR="00C11172" w:rsidRPr="00C05356" w:rsidRDefault="00C11172" w:rsidP="00D746E1">
      <w:pPr>
        <w:pStyle w:val="ListParagraph"/>
        <w:numPr>
          <w:ilvl w:val="1"/>
          <w:numId w:val="2"/>
        </w:numPr>
        <w:spacing w:after="120"/>
        <w:ind w:left="1800"/>
        <w:contextualSpacing w:val="0"/>
        <w:rPr>
          <w:b/>
        </w:rPr>
      </w:pPr>
      <w:r w:rsidRPr="00C05356">
        <w:rPr>
          <w:b/>
        </w:rPr>
        <w:t xml:space="preserve">Do </w:t>
      </w:r>
      <w:r w:rsidR="00FB6033">
        <w:rPr>
          <w:b/>
        </w:rPr>
        <w:t>stakeholders</w:t>
      </w:r>
      <w:r w:rsidRPr="00C05356">
        <w:rPr>
          <w:b/>
        </w:rPr>
        <w:t xml:space="preserve"> agree or disagree with PG&amp;E's characterization of the modeling results that 25 kg/kWh </w:t>
      </w:r>
      <w:r w:rsidR="00B44C00">
        <w:rPr>
          <w:b/>
        </w:rPr>
        <w:t>of</w:t>
      </w:r>
      <w:r w:rsidRPr="00C05356">
        <w:rPr>
          <w:b/>
        </w:rPr>
        <w:t xml:space="preserve"> GHG reductions is infeasibl</w:t>
      </w:r>
      <w:r w:rsidR="00AC0DB7">
        <w:rPr>
          <w:b/>
        </w:rPr>
        <w:t>e without increasing customer bills</w:t>
      </w:r>
      <w:r w:rsidRPr="00C05356">
        <w:rPr>
          <w:b/>
        </w:rPr>
        <w:t>?</w:t>
      </w:r>
      <w:r>
        <w:rPr>
          <w:b/>
        </w:rPr>
        <w:t xml:space="preserve"> Why or why not?</w:t>
      </w:r>
    </w:p>
    <w:p w14:paraId="2ACE8527" w14:textId="77777777" w:rsidR="00C11172" w:rsidRPr="00D746E1" w:rsidRDefault="00C11172" w:rsidP="00D746E1">
      <w:pPr>
        <w:pStyle w:val="ListParagraph"/>
        <w:numPr>
          <w:ilvl w:val="1"/>
          <w:numId w:val="2"/>
        </w:numPr>
        <w:spacing w:after="120"/>
        <w:ind w:left="1800"/>
        <w:contextualSpacing w:val="0"/>
      </w:pPr>
      <w:r w:rsidRPr="00C05356">
        <w:rPr>
          <w:b/>
        </w:rPr>
        <w:t xml:space="preserve">Do </w:t>
      </w:r>
      <w:r w:rsidR="00FB6033">
        <w:rPr>
          <w:b/>
        </w:rPr>
        <w:t>stakeholders</w:t>
      </w:r>
      <w:r w:rsidR="00FB6033" w:rsidRPr="00C05356">
        <w:rPr>
          <w:b/>
        </w:rPr>
        <w:t xml:space="preserve"> </w:t>
      </w:r>
      <w:r w:rsidRPr="00C05356">
        <w:rPr>
          <w:b/>
        </w:rPr>
        <w:t xml:space="preserve">agree or disagree with PG&amp;E's characterization of the modeling results that 10 kg/kWh </w:t>
      </w:r>
      <w:r w:rsidR="00B44C00">
        <w:rPr>
          <w:b/>
        </w:rPr>
        <w:t>of</w:t>
      </w:r>
      <w:r w:rsidRPr="00C05356">
        <w:rPr>
          <w:b/>
        </w:rPr>
        <w:t xml:space="preserve"> GHG reductions is feasible</w:t>
      </w:r>
      <w:r w:rsidR="00AC0DB7">
        <w:rPr>
          <w:b/>
        </w:rPr>
        <w:t xml:space="preserve"> without increasing customer bills</w:t>
      </w:r>
      <w:r w:rsidRPr="00C05356">
        <w:rPr>
          <w:b/>
        </w:rPr>
        <w:t>?</w:t>
      </w:r>
      <w:r>
        <w:rPr>
          <w:b/>
        </w:rPr>
        <w:t xml:space="preserve"> Why or why not?</w:t>
      </w:r>
    </w:p>
    <w:p w14:paraId="4FD6ECAD" w14:textId="6D9A3A93" w:rsidR="00FB6033" w:rsidRPr="00447320" w:rsidRDefault="00D76792" w:rsidP="00D746E1">
      <w:pPr>
        <w:pStyle w:val="ListParagraph"/>
        <w:numPr>
          <w:ilvl w:val="1"/>
          <w:numId w:val="1"/>
        </w:numPr>
        <w:spacing w:after="120"/>
        <w:ind w:left="900" w:hanging="540"/>
        <w:contextualSpacing w:val="0"/>
        <w:rPr>
          <w:b/>
        </w:rPr>
      </w:pPr>
      <w:r w:rsidRPr="00D746E1">
        <w:rPr>
          <w:i/>
        </w:rPr>
        <w:t>[Time permitting]</w:t>
      </w:r>
      <w:r w:rsidRPr="00D746E1">
        <w:t xml:space="preserve"> </w:t>
      </w:r>
      <w:r w:rsidR="00FB6033" w:rsidRPr="00D746E1">
        <w:t>In comments, CSE opposes reducing PBI payments for projects that reduce GHGs</w:t>
      </w:r>
      <w:r w:rsidR="00C33BBE" w:rsidRPr="00D746E1">
        <w:t xml:space="preserve"> less than 25 kg/kWh</w:t>
      </w:r>
      <w:r w:rsidR="00FB6033" w:rsidRPr="00D746E1">
        <w:t>, stating projects don't yet have experience responding</w:t>
      </w:r>
      <w:r w:rsidR="00FB6033">
        <w:t xml:space="preserve"> to a GHG signal and there are many unknowns at both the host customer site and system-wide level that could impact any given project's ability to reduce GHGs. </w:t>
      </w:r>
    </w:p>
    <w:p w14:paraId="03429BF1" w14:textId="40907490" w:rsidR="00FB6033" w:rsidRPr="00C05356" w:rsidRDefault="00FB6033" w:rsidP="00D746E1">
      <w:pPr>
        <w:pStyle w:val="ListParagraph"/>
        <w:numPr>
          <w:ilvl w:val="2"/>
          <w:numId w:val="3"/>
        </w:numPr>
        <w:spacing w:after="120"/>
        <w:ind w:left="1800"/>
        <w:contextualSpacing w:val="0"/>
        <w:rPr>
          <w:b/>
        </w:rPr>
      </w:pPr>
      <w:r w:rsidRPr="00C05356">
        <w:rPr>
          <w:b/>
        </w:rPr>
        <w:lastRenderedPageBreak/>
        <w:t>What are the unknow</w:t>
      </w:r>
      <w:r w:rsidR="004316D9">
        <w:rPr>
          <w:b/>
        </w:rPr>
        <w:t>n</w:t>
      </w:r>
      <w:r w:rsidRPr="00C05356">
        <w:rPr>
          <w:b/>
        </w:rPr>
        <w:t xml:space="preserve">s at the host customer site and system-wide level that could cause a project to increase GHGs? </w:t>
      </w:r>
    </w:p>
    <w:p w14:paraId="2D652007" w14:textId="77777777" w:rsidR="00FB6033" w:rsidRPr="00FB6033" w:rsidRDefault="00FB6033" w:rsidP="00D746E1">
      <w:pPr>
        <w:pStyle w:val="ListParagraph"/>
        <w:numPr>
          <w:ilvl w:val="2"/>
          <w:numId w:val="3"/>
        </w:numPr>
        <w:spacing w:after="120"/>
        <w:ind w:left="1800"/>
        <w:contextualSpacing w:val="0"/>
        <w:rPr>
          <w:b/>
        </w:rPr>
      </w:pPr>
      <w:r w:rsidRPr="00C05356">
        <w:rPr>
          <w:b/>
        </w:rPr>
        <w:t>Do developers share CSE's concern that they may not be able to achieve reductions for a given project using the GHG signal? Why or why not?</w:t>
      </w:r>
    </w:p>
    <w:p w14:paraId="1B8A7E38" w14:textId="77777777" w:rsidR="00C11172" w:rsidRPr="00E614EA" w:rsidRDefault="00C11172" w:rsidP="00C11172">
      <w:pPr>
        <w:rPr>
          <w:i/>
        </w:rPr>
      </w:pPr>
    </w:p>
    <w:p w14:paraId="2B18F460" w14:textId="77777777" w:rsidR="00C11172" w:rsidRDefault="00C11172" w:rsidP="00C11172">
      <w:pPr>
        <w:rPr>
          <w:i/>
        </w:rPr>
      </w:pPr>
      <w:r>
        <w:rPr>
          <w:i/>
        </w:rPr>
        <w:t>Regarding the method for c</w:t>
      </w:r>
      <w:r w:rsidRPr="00E614EA">
        <w:rPr>
          <w:i/>
        </w:rPr>
        <w:t xml:space="preserve">alculating </w:t>
      </w:r>
      <w:r>
        <w:rPr>
          <w:i/>
        </w:rPr>
        <w:t>penalties -</w:t>
      </w:r>
      <w:r w:rsidRPr="00E614EA">
        <w:rPr>
          <w:i/>
        </w:rPr>
        <w:t xml:space="preserve"> exceedance bands vs. $/ton</w:t>
      </w:r>
      <w:r>
        <w:rPr>
          <w:i/>
        </w:rPr>
        <w:t>:</w:t>
      </w:r>
    </w:p>
    <w:p w14:paraId="7763CC08" w14:textId="77777777" w:rsidR="00C11172" w:rsidRPr="00E614EA" w:rsidRDefault="00C11172" w:rsidP="00C11172">
      <w:pPr>
        <w:rPr>
          <w:i/>
        </w:rPr>
      </w:pPr>
    </w:p>
    <w:p w14:paraId="4A9741D9" w14:textId="50C60C44" w:rsidR="00C11172" w:rsidRPr="0038207C" w:rsidRDefault="00C11172" w:rsidP="00D746E1">
      <w:pPr>
        <w:pStyle w:val="ListParagraph"/>
        <w:numPr>
          <w:ilvl w:val="1"/>
          <w:numId w:val="1"/>
        </w:numPr>
        <w:spacing w:after="120"/>
        <w:ind w:left="900" w:hanging="540"/>
        <w:contextualSpacing w:val="0"/>
      </w:pPr>
      <w:r>
        <w:t xml:space="preserve">In comments, CALSSA, CESA, Tesla, and Stem highlight several drawbacks of the exceedance band approach, including that it sets penalties out of proportion with the environmental </w:t>
      </w:r>
      <w:r w:rsidRPr="00E614EA">
        <w:t xml:space="preserve">damage caused, penalizes small and large emitting projects roughly the same, and removes incentives for projects that can't reach the next exceedance band to reduce at all.  </w:t>
      </w:r>
      <w:r w:rsidR="00B44C00">
        <w:t xml:space="preserve">Multiple parties instead proposed using </w:t>
      </w:r>
      <w:r w:rsidR="00B44C00" w:rsidRPr="00B44C00">
        <w:t>a</w:t>
      </w:r>
      <w:r w:rsidRPr="00B44C00">
        <w:t xml:space="preserve"> $/ton approach</w:t>
      </w:r>
      <w:r w:rsidR="00B44C00" w:rsidRPr="00B44C00">
        <w:t>.</w:t>
      </w:r>
      <w:r>
        <w:rPr>
          <w:color w:val="00B0F0"/>
        </w:rPr>
        <w:t xml:space="preserve"> </w:t>
      </w:r>
      <w:r w:rsidRPr="0038207C">
        <w:rPr>
          <w:b/>
        </w:rPr>
        <w:t xml:space="preserve">Momentarily setting aside the magnitude of the penalty, do </w:t>
      </w:r>
      <w:r w:rsidR="00B44C00">
        <w:rPr>
          <w:b/>
        </w:rPr>
        <w:t>stakeholders</w:t>
      </w:r>
      <w:r w:rsidRPr="0038207C">
        <w:rPr>
          <w:b/>
        </w:rPr>
        <w:t xml:space="preserve"> favor an exceedance band approach </w:t>
      </w:r>
      <w:r w:rsidR="004316D9">
        <w:rPr>
          <w:b/>
        </w:rPr>
        <w:t>or</w:t>
      </w:r>
      <w:r w:rsidRPr="0038207C">
        <w:rPr>
          <w:b/>
        </w:rPr>
        <w:t xml:space="preserve"> a $/ton approach? Why or why not?</w:t>
      </w:r>
    </w:p>
    <w:p w14:paraId="27C5EDE3" w14:textId="13289B1D" w:rsidR="00C11172" w:rsidRDefault="00C11172" w:rsidP="00D746E1">
      <w:pPr>
        <w:pStyle w:val="ListParagraph"/>
        <w:numPr>
          <w:ilvl w:val="1"/>
          <w:numId w:val="1"/>
        </w:numPr>
        <w:spacing w:after="120"/>
        <w:ind w:left="900" w:hanging="540"/>
        <w:contextualSpacing w:val="0"/>
      </w:pPr>
      <w:bookmarkStart w:id="0" w:name="_Hlk527709099"/>
      <w:r>
        <w:t>In comments, CALSSA et al. propose</w:t>
      </w:r>
      <w:r w:rsidR="004316D9">
        <w:t>s</w:t>
      </w:r>
      <w:r>
        <w:t xml:space="preserve"> to base the $/ton penalty on either a market price (~$15/ton</w:t>
      </w:r>
      <w:r w:rsidR="00B44C00">
        <w:t>)</w:t>
      </w:r>
      <w:r>
        <w:t xml:space="preserve">, the </w:t>
      </w:r>
      <w:r w:rsidR="00496E07">
        <w:t>“</w:t>
      </w:r>
      <w:r>
        <w:t>social cost of carbon established in R.14-</w:t>
      </w:r>
      <w:r w:rsidR="00F15812">
        <w:t>10</w:t>
      </w:r>
      <w:r>
        <w:t>-003</w:t>
      </w:r>
      <w:r w:rsidR="00496E07">
        <w:t>, which is currently $69.50 per ton"</w:t>
      </w:r>
      <w:r>
        <w:t>,</w:t>
      </w:r>
      <w:r w:rsidR="00F15812">
        <w:rPr>
          <w:rStyle w:val="FootnoteReference"/>
        </w:rPr>
        <w:footnoteReference w:id="4"/>
      </w:r>
      <w:r>
        <w:t xml:space="preserve"> or the IRP price adopted in D.18-02-018 ($150/ton). </w:t>
      </w:r>
      <w:bookmarkEnd w:id="0"/>
      <w:r>
        <w:t xml:space="preserve">At the highest price, a </w:t>
      </w:r>
      <w:proofErr w:type="gramStart"/>
      <w:r>
        <w:t>100 kWh</w:t>
      </w:r>
      <w:proofErr w:type="gramEnd"/>
      <w:r>
        <w:t xml:space="preserve"> project emitting 3 metric tons would have its $3,600 annual PBI payment deducted by $450, or </w:t>
      </w:r>
      <w:r w:rsidRPr="00B44C00">
        <w:rPr>
          <w:i/>
        </w:rPr>
        <w:t>12%,</w:t>
      </w:r>
      <w:r>
        <w:t xml:space="preserve"> compared to 100% per the staff proposal.</w:t>
      </w:r>
      <w:r w:rsidR="00230719">
        <w:rPr>
          <w:rStyle w:val="FootnoteReference"/>
        </w:rPr>
        <w:footnoteReference w:id="5"/>
      </w:r>
      <w:r>
        <w:t xml:space="preserve"> </w:t>
      </w:r>
    </w:p>
    <w:p w14:paraId="6F43DEF3" w14:textId="77777777" w:rsidR="00C11172" w:rsidRDefault="00C11172" w:rsidP="00D746E1">
      <w:pPr>
        <w:pStyle w:val="ListParagraph"/>
        <w:numPr>
          <w:ilvl w:val="2"/>
          <w:numId w:val="1"/>
        </w:numPr>
        <w:spacing w:after="120"/>
        <w:contextualSpacing w:val="0"/>
      </w:pPr>
      <w:r>
        <w:t xml:space="preserve">SB 700 requires the Commission to "adopt requirements for energy storage systems to ensure that eligible energy storage systems reduce the emissions of greenhouse gases." </w:t>
      </w:r>
      <w:r w:rsidRPr="0094634A">
        <w:rPr>
          <w:b/>
        </w:rPr>
        <w:t>Would a $150/ton penalty provide sufficient in</w:t>
      </w:r>
      <w:r>
        <w:rPr>
          <w:b/>
        </w:rPr>
        <w:t>c</w:t>
      </w:r>
      <w:r w:rsidRPr="0094634A">
        <w:rPr>
          <w:b/>
        </w:rPr>
        <w:t>entive to ensure projects reduce GHGs?</w:t>
      </w:r>
      <w:r>
        <w:t xml:space="preserve"> </w:t>
      </w:r>
    </w:p>
    <w:p w14:paraId="19CD070B" w14:textId="77777777" w:rsidR="00C11172" w:rsidRPr="00E614EA" w:rsidRDefault="00C11172" w:rsidP="00D746E1">
      <w:pPr>
        <w:pStyle w:val="ListParagraph"/>
        <w:numPr>
          <w:ilvl w:val="2"/>
          <w:numId w:val="1"/>
        </w:numPr>
        <w:spacing w:after="120"/>
        <w:contextualSpacing w:val="0"/>
        <w:rPr>
          <w:b/>
        </w:rPr>
      </w:pPr>
      <w:r w:rsidRPr="0094634A">
        <w:rPr>
          <w:b/>
        </w:rPr>
        <w:t>Are there other $/ton values the Commission should consider?</w:t>
      </w:r>
    </w:p>
    <w:p w14:paraId="6993E0B9" w14:textId="77777777" w:rsidR="00C11172" w:rsidRDefault="00C11172" w:rsidP="00C11172"/>
    <w:p w14:paraId="34FED931" w14:textId="5BC34DA1" w:rsidR="005613DE" w:rsidRPr="00E614EA" w:rsidRDefault="005613DE" w:rsidP="005613DE">
      <w:pPr>
        <w:rPr>
          <w:i/>
        </w:rPr>
      </w:pPr>
      <w:r w:rsidRPr="00E614EA">
        <w:rPr>
          <w:i/>
        </w:rPr>
        <w:t xml:space="preserve">Regarding </w:t>
      </w:r>
      <w:r w:rsidR="007602F2">
        <w:rPr>
          <w:i/>
        </w:rPr>
        <w:t>staff’s</w:t>
      </w:r>
      <w:r w:rsidRPr="00E614EA">
        <w:rPr>
          <w:i/>
        </w:rPr>
        <w:t xml:space="preserve"> </w:t>
      </w:r>
      <w:r>
        <w:rPr>
          <w:i/>
        </w:rPr>
        <w:t xml:space="preserve">proposal </w:t>
      </w:r>
      <w:r w:rsidR="00D746E1">
        <w:rPr>
          <w:i/>
        </w:rPr>
        <w:t>to adopt</w:t>
      </w:r>
      <w:r>
        <w:rPr>
          <w:i/>
        </w:rPr>
        <w:t xml:space="preserve"> a </w:t>
      </w:r>
      <w:r w:rsidRPr="00E614EA">
        <w:rPr>
          <w:i/>
        </w:rPr>
        <w:t>40/60 PBI structure</w:t>
      </w:r>
      <w:r w:rsidR="00CB758C">
        <w:rPr>
          <w:i/>
        </w:rPr>
        <w:t xml:space="preserve"> for all commercial projects</w:t>
      </w:r>
      <w:r w:rsidRPr="00E614EA">
        <w:rPr>
          <w:i/>
        </w:rPr>
        <w:t>:</w:t>
      </w:r>
    </w:p>
    <w:p w14:paraId="2FDF00DF" w14:textId="77777777" w:rsidR="005613DE" w:rsidRDefault="005613DE" w:rsidP="005613DE">
      <w:pPr>
        <w:ind w:left="720"/>
      </w:pPr>
    </w:p>
    <w:p w14:paraId="586B6B09" w14:textId="0B13A7F9" w:rsidR="005613DE" w:rsidRPr="003C6E30" w:rsidRDefault="005613DE" w:rsidP="00D746E1">
      <w:pPr>
        <w:pStyle w:val="ListParagraph"/>
        <w:numPr>
          <w:ilvl w:val="1"/>
          <w:numId w:val="1"/>
        </w:numPr>
        <w:spacing w:after="120"/>
        <w:contextualSpacing w:val="0"/>
      </w:pPr>
      <w:r w:rsidRPr="003C6E30">
        <w:rPr>
          <w:i/>
        </w:rPr>
        <w:t>Small projects</w:t>
      </w:r>
      <w:r>
        <w:t>: The 2017 SGIP Storage Impact Evaluation found that small commercial projects (&lt; 30 kW) have resulted in the largest increase in GHGs per kWh. In its comments, Stem argues that withholding 60% of incentives, coupled with the potential for PBI payment reductions and the additional cost of revenue grade metering, could make financing small systems all but impossible, and proposes a 70/30 split instead.</w:t>
      </w:r>
      <w:r>
        <w:rPr>
          <w:color w:val="00B0F0"/>
        </w:rPr>
        <w:t xml:space="preserve"> </w:t>
      </w:r>
    </w:p>
    <w:p w14:paraId="2BF62272" w14:textId="77777777" w:rsidR="005613DE" w:rsidRPr="003C6E30" w:rsidRDefault="005613DE" w:rsidP="00D746E1">
      <w:pPr>
        <w:pStyle w:val="ListParagraph"/>
        <w:numPr>
          <w:ilvl w:val="2"/>
          <w:numId w:val="1"/>
        </w:numPr>
        <w:spacing w:after="120"/>
        <w:contextualSpacing w:val="0"/>
      </w:pPr>
      <w:r w:rsidRPr="006F19D9">
        <w:rPr>
          <w:b/>
        </w:rPr>
        <w:lastRenderedPageBreak/>
        <w:t xml:space="preserve">What evidence can Stem or others provide to support the statement that financing smaller projects will be "all but impossible" under </w:t>
      </w:r>
      <w:r>
        <w:rPr>
          <w:b/>
        </w:rPr>
        <w:t>a</w:t>
      </w:r>
      <w:r w:rsidRPr="006F19D9">
        <w:rPr>
          <w:b/>
        </w:rPr>
        <w:t xml:space="preserve"> 40/60</w:t>
      </w:r>
      <w:r>
        <w:rPr>
          <w:b/>
        </w:rPr>
        <w:t xml:space="preserve">, 50/50, or 60/40 </w:t>
      </w:r>
      <w:r w:rsidRPr="006F19D9">
        <w:rPr>
          <w:b/>
        </w:rPr>
        <w:t>PBI structure?</w:t>
      </w:r>
    </w:p>
    <w:p w14:paraId="1C9431A7" w14:textId="65956B82" w:rsidR="005613DE" w:rsidRDefault="005613DE" w:rsidP="00D746E1">
      <w:pPr>
        <w:pStyle w:val="ListParagraph"/>
        <w:numPr>
          <w:ilvl w:val="2"/>
          <w:numId w:val="1"/>
        </w:numPr>
        <w:spacing w:after="120"/>
        <w:contextualSpacing w:val="0"/>
        <w:rPr>
          <w:b/>
        </w:rPr>
      </w:pPr>
      <w:r w:rsidRPr="0099704F">
        <w:rPr>
          <w:b/>
        </w:rPr>
        <w:t>What is the cost difference between revenue grade metering and non-revenue grade metering</w:t>
      </w:r>
      <w:r>
        <w:rPr>
          <w:b/>
        </w:rPr>
        <w:t xml:space="preserve"> on a total $ basis and as a percentage of total system cost</w:t>
      </w:r>
      <w:r w:rsidRPr="0099704F">
        <w:rPr>
          <w:b/>
        </w:rPr>
        <w:t xml:space="preserve">? What are the tradeoffs of requiring one versus the other? </w:t>
      </w:r>
    </w:p>
    <w:p w14:paraId="2C62A354" w14:textId="2CFAAD48" w:rsidR="00CB758C" w:rsidRDefault="00CB758C" w:rsidP="00D746E1">
      <w:pPr>
        <w:pStyle w:val="ListParagraph"/>
        <w:numPr>
          <w:ilvl w:val="1"/>
          <w:numId w:val="1"/>
        </w:numPr>
        <w:spacing w:after="120"/>
        <w:contextualSpacing w:val="0"/>
      </w:pPr>
      <w:r w:rsidRPr="003C6E30">
        <w:rPr>
          <w:i/>
        </w:rPr>
        <w:t>Large projects:</w:t>
      </w:r>
      <w:r>
        <w:t xml:space="preserve"> In comments, Tesla estimates that reducing the PBI split from 50/50 to 40/60 will reduce the total net present value of a $0.35/kWh SGIP incentive by 11%, assuming a 7% discount rate (opening comments, p. 18). In comments, CALSSA argues that reducing upfront incentives may make storage project development too difficult given other headwinds facing the storage industry, such as lengthy and uncertain interconnection and local permitting processes and delays in processing SGIP incentive claims, and PG&amp;E </w:t>
      </w:r>
      <w:r w:rsidRPr="003C6E30">
        <w:t xml:space="preserve">argues that reducing upfront incentives may further </w:t>
      </w:r>
      <w:r>
        <w:t>exacerbate the current stagnation in SGIP’s commercial budget.</w:t>
      </w:r>
    </w:p>
    <w:p w14:paraId="5F20996B" w14:textId="64674E51" w:rsidR="00CB758C" w:rsidRPr="00A9151D" w:rsidRDefault="00CB758C" w:rsidP="00D746E1">
      <w:pPr>
        <w:pStyle w:val="ListParagraph"/>
        <w:numPr>
          <w:ilvl w:val="2"/>
          <w:numId w:val="1"/>
        </w:numPr>
        <w:spacing w:after="120"/>
        <w:contextualSpacing w:val="0"/>
      </w:pPr>
      <w:r w:rsidRPr="0094634A">
        <w:rPr>
          <w:b/>
        </w:rPr>
        <w:t xml:space="preserve">Do </w:t>
      </w:r>
      <w:r>
        <w:rPr>
          <w:b/>
        </w:rPr>
        <w:t>stakeholders</w:t>
      </w:r>
      <w:r w:rsidRPr="0094634A">
        <w:rPr>
          <w:b/>
        </w:rPr>
        <w:t xml:space="preserve"> agree with </w:t>
      </w:r>
      <w:r>
        <w:rPr>
          <w:b/>
        </w:rPr>
        <w:t>Tesla’s</w:t>
      </w:r>
      <w:r w:rsidRPr="0094634A">
        <w:rPr>
          <w:b/>
        </w:rPr>
        <w:t xml:space="preserve"> estimate? </w:t>
      </w:r>
    </w:p>
    <w:p w14:paraId="00AA77CA" w14:textId="6062A0B2" w:rsidR="00CB758C" w:rsidRPr="003C6E30" w:rsidRDefault="00CB758C" w:rsidP="00D746E1">
      <w:pPr>
        <w:pStyle w:val="ListParagraph"/>
        <w:numPr>
          <w:ilvl w:val="2"/>
          <w:numId w:val="1"/>
        </w:numPr>
        <w:spacing w:after="120"/>
        <w:contextualSpacing w:val="0"/>
      </w:pPr>
      <w:r w:rsidRPr="0094634A">
        <w:rPr>
          <w:b/>
        </w:rPr>
        <w:t xml:space="preserve">What impact </w:t>
      </w:r>
      <w:r>
        <w:rPr>
          <w:b/>
        </w:rPr>
        <w:t>would</w:t>
      </w:r>
      <w:r w:rsidRPr="0094634A">
        <w:rPr>
          <w:b/>
        </w:rPr>
        <w:t xml:space="preserve"> </w:t>
      </w:r>
      <w:r>
        <w:rPr>
          <w:b/>
        </w:rPr>
        <w:t xml:space="preserve">reducing the upfront payment from 50% to 40% </w:t>
      </w:r>
      <w:r w:rsidRPr="0094634A">
        <w:rPr>
          <w:b/>
        </w:rPr>
        <w:t xml:space="preserve">have on the </w:t>
      </w:r>
      <w:r>
        <w:rPr>
          <w:b/>
        </w:rPr>
        <w:t>program</w:t>
      </w:r>
      <w:r w:rsidRPr="0094634A">
        <w:rPr>
          <w:b/>
        </w:rPr>
        <w:t>?</w:t>
      </w:r>
      <w:r>
        <w:rPr>
          <w:b/>
        </w:rPr>
        <w:t xml:space="preserve">  To what extent will it impact customer participation? To what extent will it increase compliance with program rules?</w:t>
      </w:r>
    </w:p>
    <w:p w14:paraId="3F623101" w14:textId="77777777" w:rsidR="005613DE" w:rsidRDefault="005613DE" w:rsidP="00C11172"/>
    <w:p w14:paraId="34269658" w14:textId="6A53F6B4" w:rsidR="00C11172" w:rsidRPr="00C11172" w:rsidRDefault="00C11172" w:rsidP="00F440E2">
      <w:pPr>
        <w:pStyle w:val="Heading2"/>
      </w:pPr>
      <w:r w:rsidRPr="00C11172">
        <w:t>Discussion Session: New Residential Projects</w:t>
      </w:r>
    </w:p>
    <w:p w14:paraId="47628FD3" w14:textId="77777777" w:rsidR="00C11172" w:rsidRDefault="00C11172" w:rsidP="00C11172">
      <w:pPr>
        <w:rPr>
          <w:u w:val="single"/>
        </w:rPr>
      </w:pPr>
    </w:p>
    <w:p w14:paraId="2B347409" w14:textId="06C4F69B" w:rsidR="00C11172" w:rsidRDefault="00C11172" w:rsidP="00C11172">
      <w:pPr>
        <w:rPr>
          <w:i/>
        </w:rPr>
      </w:pPr>
      <w:r>
        <w:rPr>
          <w:i/>
        </w:rPr>
        <w:t xml:space="preserve">Regarding </w:t>
      </w:r>
      <w:r w:rsidR="00D746E1">
        <w:rPr>
          <w:i/>
        </w:rPr>
        <w:t xml:space="preserve">staff’s proposal for a </w:t>
      </w:r>
      <w:r>
        <w:rPr>
          <w:i/>
        </w:rPr>
        <w:t>f</w:t>
      </w:r>
      <w:r w:rsidRPr="00C05356">
        <w:rPr>
          <w:i/>
        </w:rPr>
        <w:t xml:space="preserve">leet </w:t>
      </w:r>
      <w:r>
        <w:rPr>
          <w:i/>
        </w:rPr>
        <w:t>verification and enforcement</w:t>
      </w:r>
      <w:r w:rsidR="00D746E1">
        <w:rPr>
          <w:i/>
        </w:rPr>
        <w:t xml:space="preserve"> approach</w:t>
      </w:r>
      <w:r>
        <w:rPr>
          <w:i/>
        </w:rPr>
        <w:t xml:space="preserve"> </w:t>
      </w:r>
      <w:r w:rsidR="00D746E1">
        <w:rPr>
          <w:i/>
        </w:rPr>
        <w:t>versus a</w:t>
      </w:r>
      <w:r w:rsidRPr="00C05356">
        <w:rPr>
          <w:i/>
        </w:rPr>
        <w:t xml:space="preserve"> </w:t>
      </w:r>
      <w:r>
        <w:rPr>
          <w:i/>
        </w:rPr>
        <w:t>“</w:t>
      </w:r>
      <w:r w:rsidRPr="00C05356">
        <w:rPr>
          <w:i/>
        </w:rPr>
        <w:t>deemed complian</w:t>
      </w:r>
      <w:r>
        <w:rPr>
          <w:i/>
        </w:rPr>
        <w:t>ce</w:t>
      </w:r>
      <w:r w:rsidR="00B44C00">
        <w:rPr>
          <w:i/>
        </w:rPr>
        <w:t>”</w:t>
      </w:r>
      <w:r w:rsidR="00D746E1">
        <w:rPr>
          <w:i/>
        </w:rPr>
        <w:t xml:space="preserve"> approach for new residential projects</w:t>
      </w:r>
      <w:r>
        <w:rPr>
          <w:i/>
        </w:rPr>
        <w:t>:</w:t>
      </w:r>
    </w:p>
    <w:p w14:paraId="165443B4" w14:textId="77777777" w:rsidR="00C11172" w:rsidRPr="00C05356" w:rsidRDefault="00C11172" w:rsidP="00C11172">
      <w:pPr>
        <w:rPr>
          <w:i/>
        </w:rPr>
      </w:pPr>
    </w:p>
    <w:p w14:paraId="39B62057" w14:textId="0D6B2960" w:rsidR="00C11172" w:rsidRPr="00877C23" w:rsidRDefault="00C11172" w:rsidP="00D746E1">
      <w:pPr>
        <w:pStyle w:val="ListParagraph"/>
        <w:numPr>
          <w:ilvl w:val="1"/>
          <w:numId w:val="1"/>
        </w:numPr>
        <w:spacing w:after="120"/>
        <w:contextualSpacing w:val="0"/>
      </w:pPr>
      <w:r>
        <w:t xml:space="preserve">In comments, </w:t>
      </w:r>
      <w:r w:rsidR="00413FD1">
        <w:t>Tesla</w:t>
      </w:r>
      <w:r w:rsidR="00453252">
        <w:t>’s</w:t>
      </w:r>
      <w:r w:rsidR="00413FD1">
        <w:t xml:space="preserve"> and CESA’s</w:t>
      </w:r>
      <w:r w:rsidRPr="00877C23">
        <w:t xml:space="preserve"> main rationale</w:t>
      </w:r>
      <w:r w:rsidR="00453252">
        <w:t>s</w:t>
      </w:r>
      <w:r w:rsidRPr="00877C23">
        <w:t xml:space="preserve"> for supporting a pure deemed compliance approach </w:t>
      </w:r>
      <w:r w:rsidR="00453252">
        <w:t>are</w:t>
      </w:r>
      <w:r w:rsidRPr="00877C23">
        <w:t xml:space="preserve"> the WG modeling results showing that projects that meet certain criteria are 83% likely to reduce GHGs. </w:t>
      </w:r>
      <w:r w:rsidR="00413FD1">
        <w:t xml:space="preserve">The staff proposal </w:t>
      </w:r>
      <w:r w:rsidR="00453252">
        <w:t>acknowledged</w:t>
      </w:r>
      <w:r w:rsidR="00413FD1">
        <w:t xml:space="preserve"> potential problems with the modeling methodology,</w:t>
      </w:r>
      <w:r w:rsidR="00413FD1">
        <w:rPr>
          <w:b/>
        </w:rPr>
        <w:t xml:space="preserve"> </w:t>
      </w:r>
      <w:r w:rsidR="00413FD1" w:rsidRPr="00413FD1">
        <w:t xml:space="preserve">such as </w:t>
      </w:r>
      <w:r w:rsidRPr="00413FD1">
        <w:t>different assumptions across modelers and the fact that not all modelers ran all scenarios</w:t>
      </w:r>
      <w:r w:rsidR="00413FD1" w:rsidRPr="00413FD1">
        <w:t>.</w:t>
      </w:r>
      <w:r w:rsidR="00413FD1">
        <w:rPr>
          <w:b/>
        </w:rPr>
        <w:t xml:space="preserve"> </w:t>
      </w:r>
      <w:r w:rsidR="009325BA">
        <w:rPr>
          <w:b/>
        </w:rPr>
        <w:t>Considering</w:t>
      </w:r>
      <w:r w:rsidR="00413FD1">
        <w:rPr>
          <w:b/>
        </w:rPr>
        <w:t xml:space="preserve"> this</w:t>
      </w:r>
      <w:r>
        <w:rPr>
          <w:b/>
        </w:rPr>
        <w:t>,</w:t>
      </w:r>
      <w:r w:rsidRPr="00341247">
        <w:rPr>
          <w:b/>
        </w:rPr>
        <w:t xml:space="preserve"> </w:t>
      </w:r>
      <w:r>
        <w:rPr>
          <w:b/>
        </w:rPr>
        <w:t>h</w:t>
      </w:r>
      <w:r w:rsidRPr="00B127D4">
        <w:rPr>
          <w:b/>
        </w:rPr>
        <w:t>ow</w:t>
      </w:r>
      <w:r w:rsidR="00413FD1">
        <w:rPr>
          <w:b/>
        </w:rPr>
        <w:t xml:space="preserve"> much weight should the Commission give</w:t>
      </w:r>
      <w:r w:rsidRPr="00B127D4">
        <w:rPr>
          <w:b/>
        </w:rPr>
        <w:t xml:space="preserve"> the modeling findings</w:t>
      </w:r>
      <w:r w:rsidRPr="0038207C">
        <w:rPr>
          <w:b/>
        </w:rPr>
        <w:t>?</w:t>
      </w:r>
      <w:r w:rsidR="00B62B50">
        <w:rPr>
          <w:b/>
        </w:rPr>
        <w:t xml:space="preserve"> </w:t>
      </w:r>
    </w:p>
    <w:p w14:paraId="1B037C2E" w14:textId="77777777" w:rsidR="00C11172" w:rsidRPr="00877C23" w:rsidRDefault="00C11172" w:rsidP="00D746E1">
      <w:pPr>
        <w:pStyle w:val="ListParagraph"/>
        <w:numPr>
          <w:ilvl w:val="1"/>
          <w:numId w:val="1"/>
        </w:numPr>
        <w:spacing w:after="120"/>
        <w:contextualSpacing w:val="0"/>
      </w:pPr>
      <w:r>
        <w:t xml:space="preserve">In comments, </w:t>
      </w:r>
      <w:r w:rsidRPr="00877C23">
        <w:t>CSE, Tesla, CALSSA and CESA oppose fleet verification and enforcement in favor of a pure "deemed compliant" approach</w:t>
      </w:r>
      <w:r>
        <w:t xml:space="preserve">, </w:t>
      </w:r>
      <w:r w:rsidR="002567D6">
        <w:t xml:space="preserve">in part because they </w:t>
      </w:r>
      <w:r>
        <w:t xml:space="preserve">assert </w:t>
      </w:r>
      <w:r w:rsidRPr="00877C23">
        <w:t xml:space="preserve">the administrative burden would outweigh the small </w:t>
      </w:r>
      <w:r w:rsidR="002567D6">
        <w:t>avoided</w:t>
      </w:r>
      <w:r w:rsidRPr="00877C23">
        <w:t xml:space="preserve"> GHG impact of residential </w:t>
      </w:r>
      <w:r>
        <w:t>projects</w:t>
      </w:r>
      <w:r w:rsidRPr="00877C23">
        <w:t xml:space="preserve">. </w:t>
      </w:r>
    </w:p>
    <w:p w14:paraId="6FBFAAA1" w14:textId="6CA9C989" w:rsidR="00C11172" w:rsidRDefault="00C11172" w:rsidP="00D746E1">
      <w:pPr>
        <w:pStyle w:val="ListParagraph"/>
        <w:numPr>
          <w:ilvl w:val="2"/>
          <w:numId w:val="1"/>
        </w:numPr>
        <w:spacing w:after="120"/>
        <w:contextualSpacing w:val="0"/>
        <w:rPr>
          <w:b/>
        </w:rPr>
      </w:pPr>
      <w:r w:rsidRPr="00413FD1">
        <w:t>Question for PAs:</w:t>
      </w:r>
      <w:r>
        <w:rPr>
          <w:b/>
        </w:rPr>
        <w:t xml:space="preserve"> What would the </w:t>
      </w:r>
      <w:r w:rsidR="00413FD1">
        <w:rPr>
          <w:b/>
        </w:rPr>
        <w:t xml:space="preserve">estimated </w:t>
      </w:r>
      <w:r>
        <w:rPr>
          <w:b/>
        </w:rPr>
        <w:t>annual administrative cost be for PAs to implement fleet verification and enforcement for residential fleets?</w:t>
      </w:r>
    </w:p>
    <w:p w14:paraId="0D91D2A9" w14:textId="1BC3D761" w:rsidR="009325BA" w:rsidRPr="00877C23" w:rsidRDefault="009325BA" w:rsidP="00D746E1">
      <w:pPr>
        <w:pStyle w:val="ListParagraph"/>
        <w:numPr>
          <w:ilvl w:val="2"/>
          <w:numId w:val="1"/>
        </w:numPr>
        <w:spacing w:after="120"/>
        <w:contextualSpacing w:val="0"/>
      </w:pPr>
      <w:r w:rsidRPr="009325BA">
        <w:t>Question for PAs:</w:t>
      </w:r>
      <w:r>
        <w:t xml:space="preserve"> </w:t>
      </w:r>
      <w:r w:rsidRPr="009325BA">
        <w:rPr>
          <w:b/>
        </w:rPr>
        <w:t>How long would it take to implement staff’s proposal for residential fleet verification and enforcement</w:t>
      </w:r>
      <w:r>
        <w:rPr>
          <w:b/>
        </w:rPr>
        <w:t xml:space="preserve"> (i.e. how much lead time before new rules could go into effect)</w:t>
      </w:r>
      <w:r w:rsidRPr="009325BA">
        <w:rPr>
          <w:b/>
        </w:rPr>
        <w:t>?</w:t>
      </w:r>
    </w:p>
    <w:p w14:paraId="2701CBFD" w14:textId="697F8946" w:rsidR="00C11172" w:rsidRPr="0038207C" w:rsidRDefault="00C11172" w:rsidP="00D746E1">
      <w:pPr>
        <w:pStyle w:val="ListParagraph"/>
        <w:numPr>
          <w:ilvl w:val="2"/>
          <w:numId w:val="1"/>
        </w:numPr>
        <w:spacing w:after="120"/>
        <w:contextualSpacing w:val="0"/>
        <w:rPr>
          <w:b/>
        </w:rPr>
      </w:pPr>
      <w:r w:rsidRPr="00413FD1">
        <w:lastRenderedPageBreak/>
        <w:t xml:space="preserve">Question for </w:t>
      </w:r>
      <w:r w:rsidR="009325BA">
        <w:t xml:space="preserve">Residential </w:t>
      </w:r>
      <w:r w:rsidRPr="00413FD1">
        <w:t>Developers:</w:t>
      </w:r>
      <w:r>
        <w:rPr>
          <w:b/>
        </w:rPr>
        <w:t xml:space="preserve"> What would the </w:t>
      </w:r>
      <w:r w:rsidR="00413FD1">
        <w:rPr>
          <w:b/>
        </w:rPr>
        <w:t xml:space="preserve">estimated </w:t>
      </w:r>
      <w:r>
        <w:rPr>
          <w:b/>
        </w:rPr>
        <w:t xml:space="preserve">annual administrative cost be for developers to submit electric charge and discharge data for their residential projects to Itron twice a year? </w:t>
      </w:r>
    </w:p>
    <w:p w14:paraId="0AFB7929" w14:textId="7317699A" w:rsidR="00C11172" w:rsidRPr="00D76792" w:rsidRDefault="00C11172" w:rsidP="00D746E1">
      <w:pPr>
        <w:pStyle w:val="ListParagraph"/>
        <w:numPr>
          <w:ilvl w:val="2"/>
          <w:numId w:val="1"/>
        </w:numPr>
        <w:spacing w:after="120"/>
        <w:contextualSpacing w:val="0"/>
      </w:pPr>
      <w:r>
        <w:t xml:space="preserve">Residential </w:t>
      </w:r>
      <w:r w:rsidRPr="00877C23">
        <w:t xml:space="preserve">projects are growing as a percentage of total </w:t>
      </w:r>
      <w:r>
        <w:t xml:space="preserve">program </w:t>
      </w:r>
      <w:r w:rsidRPr="00877C23">
        <w:t>rebated capacity.</w:t>
      </w:r>
      <w:r>
        <w:t xml:space="preserve"> </w:t>
      </w:r>
      <w:r>
        <w:rPr>
          <w:b/>
        </w:rPr>
        <w:t>Is this</w:t>
      </w:r>
      <w:r w:rsidRPr="003B36C3">
        <w:rPr>
          <w:b/>
        </w:rPr>
        <w:t xml:space="preserve"> trend</w:t>
      </w:r>
      <w:r>
        <w:rPr>
          <w:b/>
        </w:rPr>
        <w:t xml:space="preserve"> likely</w:t>
      </w:r>
      <w:r w:rsidRPr="003B36C3">
        <w:rPr>
          <w:b/>
        </w:rPr>
        <w:t xml:space="preserve"> to continue</w:t>
      </w:r>
      <w:r>
        <w:rPr>
          <w:b/>
        </w:rPr>
        <w:t>, and for how long</w:t>
      </w:r>
      <w:r w:rsidRPr="003B36C3">
        <w:rPr>
          <w:b/>
        </w:rPr>
        <w:t>?</w:t>
      </w:r>
      <w:r w:rsidR="002567D6">
        <w:rPr>
          <w:b/>
        </w:rPr>
        <w:t xml:space="preserve"> Do stakeholders expect residential projects to make up a significant portion of program rebated capacity in the future?</w:t>
      </w:r>
    </w:p>
    <w:p w14:paraId="6C63E1F9" w14:textId="77777777" w:rsidR="00C11172" w:rsidRPr="00877C23" w:rsidRDefault="00C11172" w:rsidP="00C11172"/>
    <w:p w14:paraId="3B8217BC" w14:textId="78719A79" w:rsidR="0085344E" w:rsidRPr="00287811" w:rsidRDefault="0085344E" w:rsidP="0085344E">
      <w:pPr>
        <w:rPr>
          <w:i/>
        </w:rPr>
      </w:pPr>
      <w:r w:rsidRPr="00287811">
        <w:rPr>
          <w:i/>
        </w:rPr>
        <w:t xml:space="preserve">Regarding staff’s proposal to require new residential projects to pair with solar, based on WG modeling </w:t>
      </w:r>
      <w:r>
        <w:rPr>
          <w:i/>
        </w:rPr>
        <w:t>findings</w:t>
      </w:r>
      <w:r w:rsidRPr="00287811">
        <w:rPr>
          <w:i/>
        </w:rPr>
        <w:t xml:space="preserve"> that pairing with solar increases the likelihood projects will reduce GHGs from 67% to 83%:</w:t>
      </w:r>
    </w:p>
    <w:p w14:paraId="7A198E9F" w14:textId="77777777" w:rsidR="0085344E" w:rsidRDefault="0085344E" w:rsidP="0085344E"/>
    <w:p w14:paraId="7B364CC4" w14:textId="705BCFFB" w:rsidR="0085344E" w:rsidRPr="00F15812" w:rsidRDefault="0085344E" w:rsidP="00287811">
      <w:pPr>
        <w:pStyle w:val="ListParagraph"/>
        <w:numPr>
          <w:ilvl w:val="1"/>
          <w:numId w:val="1"/>
        </w:numPr>
        <w:spacing w:after="120"/>
        <w:ind w:left="810" w:hanging="450"/>
        <w:contextualSpacing w:val="0"/>
      </w:pPr>
      <w:r w:rsidRPr="0085344E">
        <w:t>In comments, Tesla, CESA, PG&amp;E, and SDG&amp;E oppose</w:t>
      </w:r>
      <w:r w:rsidRPr="00F15812">
        <w:t xml:space="preserve"> requiring new residential projects to pair with solar, arguing that stand-alone storage is equally capable </w:t>
      </w:r>
      <w:r>
        <w:t xml:space="preserve">as paired storage </w:t>
      </w:r>
      <w:r w:rsidRPr="00F15812">
        <w:t>of achieving GHG savings by confining charging to PV-generating hours (akin to “solar self-consumption mode”), an</w:t>
      </w:r>
      <w:r>
        <w:t>d</w:t>
      </w:r>
      <w:r w:rsidRPr="00F15812">
        <w:t xml:space="preserve"> that some customers may be unable to deploy solar for various reasons (e.g. affordability, shaded roof). </w:t>
      </w:r>
    </w:p>
    <w:p w14:paraId="48F17234" w14:textId="5C09CAAF" w:rsidR="0085344E" w:rsidRPr="00F15812" w:rsidRDefault="001B080A" w:rsidP="00287811">
      <w:pPr>
        <w:pStyle w:val="ListParagraph"/>
        <w:numPr>
          <w:ilvl w:val="2"/>
          <w:numId w:val="1"/>
        </w:numPr>
        <w:spacing w:after="120"/>
        <w:contextualSpacing w:val="0"/>
      </w:pPr>
      <w:r>
        <w:t xml:space="preserve">The </w:t>
      </w:r>
      <w:r w:rsidR="0085344E" w:rsidRPr="00F15812">
        <w:t xml:space="preserve">WG modeling found that adopting charging time constraints did not lead to </w:t>
      </w:r>
      <w:r w:rsidR="0085344E">
        <w:t xml:space="preserve">significant </w:t>
      </w:r>
      <w:r>
        <w:t xml:space="preserve">GHG </w:t>
      </w:r>
      <w:r w:rsidR="0085344E" w:rsidRPr="00F15812">
        <w:t xml:space="preserve">reductions </w:t>
      </w:r>
      <w:r w:rsidR="0085344E">
        <w:t>(</w:t>
      </w:r>
      <w:r w:rsidR="00E45211">
        <w:t xml:space="preserve">WG Report, </w:t>
      </w:r>
      <w:r w:rsidR="00E45211" w:rsidRPr="00287811">
        <w:t>p. 57</w:t>
      </w:r>
      <w:r w:rsidR="0085344E">
        <w:t>)</w:t>
      </w:r>
      <w:r w:rsidR="0085344E" w:rsidRPr="00F15812">
        <w:t xml:space="preserve">. </w:t>
      </w:r>
      <w:r w:rsidR="0085344E" w:rsidRPr="00287811">
        <w:rPr>
          <w:b/>
        </w:rPr>
        <w:t>Should the Commission adopt charging time constraints in lieu of a requirement to pair with solar,</w:t>
      </w:r>
      <w:r w:rsidR="0085344E" w:rsidRPr="00F15812">
        <w:rPr>
          <w:b/>
        </w:rPr>
        <w:t xml:space="preserve"> </w:t>
      </w:r>
      <w:r w:rsidR="0085344E" w:rsidRPr="00287811">
        <w:rPr>
          <w:b/>
        </w:rPr>
        <w:t>despite WG modeling results indicating they may not be effective?</w:t>
      </w:r>
      <w:r w:rsidR="0085344E">
        <w:rPr>
          <w:b/>
        </w:rPr>
        <w:t xml:space="preserve"> </w:t>
      </w:r>
      <w:r w:rsidR="0085344E" w:rsidRPr="00287811">
        <w:rPr>
          <w:b/>
        </w:rPr>
        <w:t>Why or why not? If yes, what time constraints do stakeholders recommend?</w:t>
      </w:r>
    </w:p>
    <w:p w14:paraId="6C774D53" w14:textId="1A81346B" w:rsidR="0085344E" w:rsidRPr="00287811" w:rsidRDefault="0085344E" w:rsidP="0085344E">
      <w:pPr>
        <w:pStyle w:val="ListParagraph"/>
        <w:numPr>
          <w:ilvl w:val="2"/>
          <w:numId w:val="1"/>
        </w:numPr>
        <w:spacing w:after="120"/>
        <w:contextualSpacing w:val="0"/>
        <w:rPr>
          <w:b/>
        </w:rPr>
      </w:pPr>
      <w:r w:rsidRPr="00287811">
        <w:rPr>
          <w:b/>
        </w:rPr>
        <w:t xml:space="preserve">Are there measures other than charging time constraints or requiring </w:t>
      </w:r>
      <w:r w:rsidR="001B080A">
        <w:rPr>
          <w:b/>
        </w:rPr>
        <w:t>storage</w:t>
      </w:r>
      <w:r w:rsidRPr="00287811">
        <w:rPr>
          <w:b/>
        </w:rPr>
        <w:t xml:space="preserve"> to pair with solar that the Commission should consider </w:t>
      </w:r>
      <w:proofErr w:type="gramStart"/>
      <w:r w:rsidRPr="00287811">
        <w:rPr>
          <w:b/>
        </w:rPr>
        <w:t xml:space="preserve">to </w:t>
      </w:r>
      <w:r w:rsidR="001B080A">
        <w:rPr>
          <w:b/>
        </w:rPr>
        <w:t>encourage</w:t>
      </w:r>
      <w:proofErr w:type="gramEnd"/>
      <w:r w:rsidRPr="00287811">
        <w:rPr>
          <w:b/>
        </w:rPr>
        <w:t xml:space="preserve"> residential storage </w:t>
      </w:r>
      <w:r w:rsidR="001B080A">
        <w:rPr>
          <w:b/>
        </w:rPr>
        <w:t xml:space="preserve">to </w:t>
      </w:r>
      <w:r w:rsidRPr="00287811">
        <w:rPr>
          <w:b/>
        </w:rPr>
        <w:t xml:space="preserve">charge during </w:t>
      </w:r>
      <w:r w:rsidR="001B080A">
        <w:rPr>
          <w:b/>
        </w:rPr>
        <w:t>solar</w:t>
      </w:r>
      <w:r w:rsidRPr="00287811">
        <w:rPr>
          <w:b/>
        </w:rPr>
        <w:t xml:space="preserve"> generating hours?</w:t>
      </w:r>
    </w:p>
    <w:p w14:paraId="6712C11E" w14:textId="7750EACC" w:rsidR="0085344E" w:rsidRPr="001B080A" w:rsidRDefault="00060917" w:rsidP="00287811">
      <w:pPr>
        <w:pStyle w:val="ListParagraph"/>
        <w:numPr>
          <w:ilvl w:val="2"/>
          <w:numId w:val="1"/>
        </w:numPr>
        <w:spacing w:after="120"/>
        <w:contextualSpacing w:val="0"/>
      </w:pPr>
      <w:r>
        <w:t xml:space="preserve">Of the solutions modeled by the WG, the use of a GHG emissions signal was significantly more effective in achieving GHG reductions than the addition of constraints on storage charging and discharging times or </w:t>
      </w:r>
      <w:r w:rsidR="001B080A">
        <w:t>the requirement to enroll</w:t>
      </w:r>
      <w:r>
        <w:t xml:space="preserve"> on a new TOU rate, </w:t>
      </w:r>
      <w:r w:rsidR="001B080A">
        <w:t>neither</w:t>
      </w:r>
      <w:r>
        <w:t xml:space="preserve"> of which capture often </w:t>
      </w:r>
      <w:r w:rsidR="00F15812">
        <w:t>significant</w:t>
      </w:r>
      <w:r>
        <w:t xml:space="preserve"> intra-period variations in grid emissions</w:t>
      </w:r>
      <w:r w:rsidR="00E45211">
        <w:t xml:space="preserve"> (WG Report, p. 146)</w:t>
      </w:r>
      <w:r w:rsidR="003B1BE9">
        <w:t xml:space="preserve">. </w:t>
      </w:r>
      <w:r w:rsidR="001B080A">
        <w:rPr>
          <w:rFonts w:eastAsia="Times New Roman"/>
          <w:b/>
          <w:bCs/>
        </w:rPr>
        <w:t>In lieu of upfront requirements to pair with solar or confine charging to certain hours</w:t>
      </w:r>
      <w:r w:rsidR="00F15812" w:rsidRPr="00287811">
        <w:rPr>
          <w:b/>
        </w:rPr>
        <w:t>, s</w:t>
      </w:r>
      <w:r w:rsidR="003B1BE9" w:rsidRPr="00287811">
        <w:rPr>
          <w:b/>
        </w:rPr>
        <w:t xml:space="preserve">hould the Commission </w:t>
      </w:r>
      <w:r w:rsidRPr="00287811">
        <w:rPr>
          <w:b/>
        </w:rPr>
        <w:t xml:space="preserve">simply make the GHG signal available, require residential fleets to reduce GHGs, and allow them to find the best way to </w:t>
      </w:r>
      <w:r w:rsidR="001B080A">
        <w:rPr>
          <w:b/>
        </w:rPr>
        <w:t>do so</w:t>
      </w:r>
      <w:r w:rsidRPr="00287811">
        <w:rPr>
          <w:b/>
        </w:rPr>
        <w:t>?</w:t>
      </w:r>
    </w:p>
    <w:p w14:paraId="4D7C8EA0" w14:textId="77777777" w:rsidR="0085344E" w:rsidRDefault="0085344E" w:rsidP="00C11172">
      <w:pPr>
        <w:rPr>
          <w:i/>
        </w:rPr>
      </w:pPr>
    </w:p>
    <w:p w14:paraId="4EE1039E" w14:textId="5587956E" w:rsidR="00C11172" w:rsidRDefault="00C11172" w:rsidP="00C11172">
      <w:pPr>
        <w:rPr>
          <w:i/>
        </w:rPr>
      </w:pPr>
      <w:r w:rsidRPr="0038207C">
        <w:rPr>
          <w:i/>
        </w:rPr>
        <w:t xml:space="preserve">Regarding </w:t>
      </w:r>
      <w:r>
        <w:rPr>
          <w:i/>
        </w:rPr>
        <w:t xml:space="preserve">penalties for </w:t>
      </w:r>
      <w:r w:rsidR="002567D6">
        <w:rPr>
          <w:i/>
        </w:rPr>
        <w:t xml:space="preserve">residential </w:t>
      </w:r>
      <w:r>
        <w:rPr>
          <w:i/>
        </w:rPr>
        <w:t>fleet GHG increases – program s</w:t>
      </w:r>
      <w:r w:rsidRPr="0038207C">
        <w:rPr>
          <w:i/>
        </w:rPr>
        <w:t>uspension vs</w:t>
      </w:r>
      <w:r>
        <w:rPr>
          <w:i/>
        </w:rPr>
        <w:t>.</w:t>
      </w:r>
      <w:r w:rsidRPr="0038207C">
        <w:rPr>
          <w:i/>
        </w:rPr>
        <w:t xml:space="preserve"> financial penalty</w:t>
      </w:r>
      <w:r>
        <w:rPr>
          <w:i/>
        </w:rPr>
        <w:t>:</w:t>
      </w:r>
    </w:p>
    <w:p w14:paraId="2954AF79" w14:textId="77777777" w:rsidR="00C11172" w:rsidRPr="0038207C" w:rsidRDefault="00C11172" w:rsidP="00C11172">
      <w:pPr>
        <w:rPr>
          <w:i/>
        </w:rPr>
      </w:pPr>
    </w:p>
    <w:p w14:paraId="1373ED01" w14:textId="77777777" w:rsidR="009639BE" w:rsidRDefault="00C11172" w:rsidP="00D746E1">
      <w:pPr>
        <w:pStyle w:val="ListParagraph"/>
        <w:numPr>
          <w:ilvl w:val="1"/>
          <w:numId w:val="1"/>
        </w:numPr>
        <w:spacing w:after="120"/>
        <w:ind w:left="810" w:hanging="450"/>
        <w:contextualSpacing w:val="0"/>
      </w:pPr>
      <w:r>
        <w:t xml:space="preserve">In comments, </w:t>
      </w:r>
      <w:r w:rsidRPr="00877C23">
        <w:t>Tesla argues</w:t>
      </w:r>
      <w:r>
        <w:t xml:space="preserve"> that</w:t>
      </w:r>
      <w:r w:rsidRPr="00877C23">
        <w:t xml:space="preserve"> the prospect of program suspension</w:t>
      </w:r>
      <w:r w:rsidR="002567D6">
        <w:t xml:space="preserve"> for </w:t>
      </w:r>
      <w:r w:rsidR="002567D6" w:rsidRPr="00877C23">
        <w:t>developer</w:t>
      </w:r>
      <w:r w:rsidR="002567D6">
        <w:t>s</w:t>
      </w:r>
      <w:r w:rsidR="002567D6" w:rsidRPr="00877C23">
        <w:t xml:space="preserve"> </w:t>
      </w:r>
      <w:r w:rsidR="002567D6">
        <w:t>with GHG-increasing fleets</w:t>
      </w:r>
      <w:r w:rsidRPr="00877C23">
        <w:t xml:space="preserve"> would make them </w:t>
      </w:r>
      <w:r>
        <w:t xml:space="preserve">highly </w:t>
      </w:r>
      <w:r w:rsidRPr="00877C23">
        <w:t xml:space="preserve">reluctant to market SGIP to customers. Instead, they propose </w:t>
      </w:r>
      <w:r w:rsidR="002567D6">
        <w:t xml:space="preserve">that PAs </w:t>
      </w:r>
      <w:r w:rsidRPr="00877C23">
        <w:t>levy financial penalties on developer</w:t>
      </w:r>
      <w:r>
        <w:t>s</w:t>
      </w:r>
      <w:r w:rsidRPr="00877C23">
        <w:t xml:space="preserve"> </w:t>
      </w:r>
      <w:r>
        <w:t xml:space="preserve">with </w:t>
      </w:r>
      <w:r>
        <w:lastRenderedPageBreak/>
        <w:t xml:space="preserve">GHG-increasing fleets, with the option of program suspension if the developer fails to pay the fee. </w:t>
      </w:r>
    </w:p>
    <w:p w14:paraId="2F7F1AC2" w14:textId="786E5016" w:rsidR="009639BE" w:rsidRPr="00D746E1" w:rsidRDefault="009639BE" w:rsidP="00D746E1">
      <w:pPr>
        <w:pStyle w:val="ListParagraph"/>
        <w:numPr>
          <w:ilvl w:val="2"/>
          <w:numId w:val="1"/>
        </w:numPr>
        <w:spacing w:after="120"/>
        <w:contextualSpacing w:val="0"/>
        <w:rPr>
          <w:b/>
        </w:rPr>
      </w:pPr>
      <w:r w:rsidRPr="009A4370">
        <w:rPr>
          <w:b/>
        </w:rPr>
        <w:t xml:space="preserve">Would a financial penalty provide </w:t>
      </w:r>
      <w:r w:rsidR="009A4370" w:rsidRPr="009A4370">
        <w:rPr>
          <w:b/>
        </w:rPr>
        <w:t>enough</w:t>
      </w:r>
      <w:r w:rsidRPr="009A4370">
        <w:rPr>
          <w:b/>
        </w:rPr>
        <w:t xml:space="preserve"> incentive to ensure </w:t>
      </w:r>
      <w:r w:rsidR="009A4370">
        <w:rPr>
          <w:b/>
        </w:rPr>
        <w:t>developer fleets</w:t>
      </w:r>
      <w:r w:rsidRPr="009A4370">
        <w:rPr>
          <w:b/>
        </w:rPr>
        <w:t xml:space="preserve"> reduce GHGs?</w:t>
      </w:r>
    </w:p>
    <w:p w14:paraId="4C95FAC7" w14:textId="631EFDAC" w:rsidR="009639BE" w:rsidRDefault="006F485F" w:rsidP="00D746E1">
      <w:pPr>
        <w:pStyle w:val="ListParagraph"/>
        <w:numPr>
          <w:ilvl w:val="2"/>
          <w:numId w:val="1"/>
        </w:numPr>
        <w:spacing w:after="120"/>
        <w:contextualSpacing w:val="0"/>
        <w:rPr>
          <w:b/>
        </w:rPr>
      </w:pPr>
      <w:r w:rsidRPr="009A4370">
        <w:rPr>
          <w:b/>
        </w:rPr>
        <w:t>Wh</w:t>
      </w:r>
      <w:r w:rsidR="009A4370">
        <w:rPr>
          <w:b/>
        </w:rPr>
        <w:t xml:space="preserve">ich would pose a greater administrative burden on </w:t>
      </w:r>
      <w:r w:rsidR="00C11172" w:rsidRPr="009A4370">
        <w:rPr>
          <w:b/>
        </w:rPr>
        <w:t xml:space="preserve">PAs and </w:t>
      </w:r>
      <w:r w:rsidR="009A4370">
        <w:rPr>
          <w:b/>
        </w:rPr>
        <w:t xml:space="preserve">residential </w:t>
      </w:r>
      <w:r w:rsidR="00C11172" w:rsidRPr="009A4370">
        <w:rPr>
          <w:b/>
        </w:rPr>
        <w:t>developers</w:t>
      </w:r>
      <w:r w:rsidR="009A4370">
        <w:rPr>
          <w:b/>
        </w:rPr>
        <w:t xml:space="preserve">, </w:t>
      </w:r>
      <w:r w:rsidR="009A4370" w:rsidRPr="00BE279E">
        <w:rPr>
          <w:b/>
        </w:rPr>
        <w:t xml:space="preserve">financial penalties </w:t>
      </w:r>
      <w:r w:rsidR="009A4370">
        <w:rPr>
          <w:b/>
        </w:rPr>
        <w:t>or</w:t>
      </w:r>
      <w:r w:rsidR="009A4370" w:rsidRPr="00BE279E">
        <w:rPr>
          <w:b/>
        </w:rPr>
        <w:t xml:space="preserve"> program suspensions?</w:t>
      </w:r>
    </w:p>
    <w:p w14:paraId="15DDF6A0" w14:textId="3B57F8D3" w:rsidR="00C11172" w:rsidRPr="00453252" w:rsidRDefault="009A4370" w:rsidP="00C11172">
      <w:pPr>
        <w:pStyle w:val="ListParagraph"/>
        <w:numPr>
          <w:ilvl w:val="2"/>
          <w:numId w:val="1"/>
        </w:numPr>
        <w:spacing w:after="120"/>
        <w:contextualSpacing w:val="0"/>
        <w:rPr>
          <w:b/>
        </w:rPr>
      </w:pPr>
      <w:r w:rsidRPr="009A4370">
        <w:rPr>
          <w:b/>
        </w:rPr>
        <w:t xml:space="preserve">Are there other tradeoffs </w:t>
      </w:r>
      <w:r>
        <w:rPr>
          <w:b/>
        </w:rPr>
        <w:t>of using</w:t>
      </w:r>
      <w:r w:rsidRPr="009A4370">
        <w:rPr>
          <w:b/>
        </w:rPr>
        <w:t xml:space="preserve"> financial penalties </w:t>
      </w:r>
      <w:r>
        <w:rPr>
          <w:b/>
        </w:rPr>
        <w:t>versus</w:t>
      </w:r>
      <w:r w:rsidRPr="009A4370">
        <w:rPr>
          <w:b/>
        </w:rPr>
        <w:t xml:space="preserve"> program suspensions that the Commission should consider?</w:t>
      </w:r>
    </w:p>
    <w:p w14:paraId="7F4B096D" w14:textId="77777777" w:rsidR="00C11172" w:rsidRDefault="00C11172" w:rsidP="00C11172">
      <w:pPr>
        <w:rPr>
          <w:u w:val="single"/>
        </w:rPr>
      </w:pPr>
    </w:p>
    <w:p w14:paraId="7CB5885D" w14:textId="39DB3760" w:rsidR="00C11172" w:rsidRPr="00C11172" w:rsidRDefault="00C11172" w:rsidP="00F440E2">
      <w:pPr>
        <w:pStyle w:val="Heading2"/>
      </w:pPr>
      <w:r w:rsidRPr="00C11172">
        <w:t>Discussion Session: Legacy Projects</w:t>
      </w:r>
    </w:p>
    <w:p w14:paraId="5B3D5C08" w14:textId="77777777" w:rsidR="00C11172" w:rsidRDefault="00C11172" w:rsidP="00C11172">
      <w:pPr>
        <w:rPr>
          <w:u w:val="single"/>
        </w:rPr>
      </w:pPr>
    </w:p>
    <w:p w14:paraId="5C008FAC" w14:textId="5B1D79E6" w:rsidR="00C11172" w:rsidRPr="00BE279E" w:rsidRDefault="00C11172" w:rsidP="00C11172">
      <w:pPr>
        <w:rPr>
          <w:i/>
        </w:rPr>
      </w:pPr>
      <w:r w:rsidRPr="00BE279E">
        <w:rPr>
          <w:i/>
        </w:rPr>
        <w:t xml:space="preserve">Regarding </w:t>
      </w:r>
      <w:r w:rsidR="00453252">
        <w:rPr>
          <w:i/>
        </w:rPr>
        <w:t xml:space="preserve">staff’s proposal for </w:t>
      </w:r>
      <w:r>
        <w:rPr>
          <w:i/>
        </w:rPr>
        <w:t xml:space="preserve">the adoption of </w:t>
      </w:r>
      <w:r w:rsidR="00453252">
        <w:rPr>
          <w:i/>
        </w:rPr>
        <w:t xml:space="preserve">“retroactive” </w:t>
      </w:r>
      <w:r>
        <w:rPr>
          <w:i/>
        </w:rPr>
        <w:t>fleet enforcement mechanisms for legacy projects</w:t>
      </w:r>
      <w:r w:rsidR="00453252">
        <w:rPr>
          <w:i/>
        </w:rPr>
        <w:t xml:space="preserve"> electing the RTE pathway</w:t>
      </w:r>
      <w:r>
        <w:rPr>
          <w:i/>
        </w:rPr>
        <w:t>:</w:t>
      </w:r>
    </w:p>
    <w:p w14:paraId="1C94A17D" w14:textId="77777777" w:rsidR="00C11172" w:rsidRDefault="00C11172" w:rsidP="00C11172"/>
    <w:p w14:paraId="0D03F063" w14:textId="77777777" w:rsidR="00C11172" w:rsidRPr="00BE279E" w:rsidRDefault="00C11172" w:rsidP="00D746E1">
      <w:pPr>
        <w:pStyle w:val="ListParagraph"/>
        <w:numPr>
          <w:ilvl w:val="1"/>
          <w:numId w:val="1"/>
        </w:numPr>
        <w:spacing w:after="120"/>
        <w:ind w:left="810" w:hanging="450"/>
        <w:contextualSpacing w:val="0"/>
      </w:pPr>
      <w:r>
        <w:t xml:space="preserve">In comments, CESA recommends the Commission recognize the trail-blazing nature of legacy systems, the evolution and learning of industry participants, the relatively small amount of GHG emissions reductions and involved legacy incentives at stake, and generally exempt legacy systems from new requirements. </w:t>
      </w:r>
      <w:r w:rsidRPr="004A1711">
        <w:rPr>
          <w:b/>
        </w:rPr>
        <w:t xml:space="preserve">Do other </w:t>
      </w:r>
      <w:r w:rsidR="002567D6">
        <w:rPr>
          <w:b/>
        </w:rPr>
        <w:t>stakeholders</w:t>
      </w:r>
      <w:r w:rsidRPr="004A1711">
        <w:rPr>
          <w:b/>
        </w:rPr>
        <w:t xml:space="preserve"> agree that a lighter enforcement approach for legacy systems is warranted? Why or why not?</w:t>
      </w:r>
    </w:p>
    <w:p w14:paraId="6B29AD60" w14:textId="12363234" w:rsidR="00C11172" w:rsidRPr="004A1711" w:rsidRDefault="00C11172" w:rsidP="00D746E1">
      <w:pPr>
        <w:pStyle w:val="ListParagraph"/>
        <w:numPr>
          <w:ilvl w:val="1"/>
          <w:numId w:val="1"/>
        </w:numPr>
        <w:spacing w:after="120"/>
        <w:ind w:left="810" w:hanging="450"/>
        <w:contextualSpacing w:val="0"/>
        <w:rPr>
          <w:b/>
        </w:rPr>
      </w:pPr>
      <w:r>
        <w:t xml:space="preserve">In comments, CSE argues that legacy RTE fleets should not be subjected to retroactive rule changes in the form of fleet verification and enforcement and automatic program suspensions, but should instead remain subject to existing SGIP </w:t>
      </w:r>
      <w:r w:rsidR="00453252">
        <w:t>h</w:t>
      </w:r>
      <w:r>
        <w:t xml:space="preserve">andbook infraction language at the time of their application submission. </w:t>
      </w:r>
    </w:p>
    <w:p w14:paraId="38ED2A8B" w14:textId="09357DD1" w:rsidR="00C11172" w:rsidRDefault="00C11172" w:rsidP="00D746E1">
      <w:pPr>
        <w:pStyle w:val="ListParagraph"/>
        <w:numPr>
          <w:ilvl w:val="2"/>
          <w:numId w:val="1"/>
        </w:numPr>
        <w:spacing w:after="120"/>
        <w:contextualSpacing w:val="0"/>
        <w:rPr>
          <w:b/>
        </w:rPr>
      </w:pPr>
      <w:r w:rsidRPr="004A1711">
        <w:rPr>
          <w:b/>
        </w:rPr>
        <w:t xml:space="preserve">Would relying on existing handbook language, which grants PAs broad discretion to enforce rules but provides little structure or process for doing so, </w:t>
      </w:r>
      <w:r w:rsidR="002567D6">
        <w:rPr>
          <w:b/>
        </w:rPr>
        <w:t>increase or decrease the</w:t>
      </w:r>
      <w:r w:rsidRPr="004A1711">
        <w:rPr>
          <w:b/>
        </w:rPr>
        <w:t xml:space="preserve"> administrative burden </w:t>
      </w:r>
      <w:r w:rsidR="002567D6">
        <w:rPr>
          <w:b/>
        </w:rPr>
        <w:t>on</w:t>
      </w:r>
      <w:r w:rsidRPr="004A1711">
        <w:rPr>
          <w:b/>
        </w:rPr>
        <w:t xml:space="preserve"> PAs</w:t>
      </w:r>
      <w:r w:rsidR="009A4370">
        <w:rPr>
          <w:b/>
        </w:rPr>
        <w:t xml:space="preserve"> </w:t>
      </w:r>
      <w:r w:rsidR="00453252">
        <w:rPr>
          <w:b/>
        </w:rPr>
        <w:t xml:space="preserve">to enforce compliance with RTE rules </w:t>
      </w:r>
      <w:r w:rsidR="009A4370">
        <w:rPr>
          <w:b/>
        </w:rPr>
        <w:t xml:space="preserve">compared to </w:t>
      </w:r>
      <w:r w:rsidR="009D4C02">
        <w:rPr>
          <w:b/>
        </w:rPr>
        <w:t xml:space="preserve">the fleet verification and enforcement </w:t>
      </w:r>
      <w:r w:rsidR="00453252">
        <w:rPr>
          <w:b/>
        </w:rPr>
        <w:t>regime proposed by staff</w:t>
      </w:r>
      <w:r w:rsidRPr="004A1711">
        <w:rPr>
          <w:b/>
        </w:rPr>
        <w:t>?</w:t>
      </w:r>
    </w:p>
    <w:p w14:paraId="18059209" w14:textId="7F2BA849" w:rsidR="00530072" w:rsidRPr="00C11172" w:rsidRDefault="00C11172" w:rsidP="00C11172">
      <w:pPr>
        <w:pStyle w:val="ListParagraph"/>
        <w:numPr>
          <w:ilvl w:val="2"/>
          <w:numId w:val="1"/>
        </w:numPr>
        <w:spacing w:after="120"/>
        <w:contextualSpacing w:val="0"/>
      </w:pPr>
      <w:r w:rsidRPr="00862A5A">
        <w:rPr>
          <w:b/>
        </w:rPr>
        <w:t xml:space="preserve">If the Commission allows legacy systems to remain under </w:t>
      </w:r>
      <w:r w:rsidR="002567D6" w:rsidRPr="00862A5A">
        <w:rPr>
          <w:b/>
        </w:rPr>
        <w:t>existing</w:t>
      </w:r>
      <w:r w:rsidRPr="00862A5A">
        <w:rPr>
          <w:b/>
        </w:rPr>
        <w:t xml:space="preserve"> RTE rules and enforcement mechanisms, what incentive would legacy system</w:t>
      </w:r>
      <w:r w:rsidR="002567D6" w:rsidRPr="00862A5A">
        <w:rPr>
          <w:b/>
        </w:rPr>
        <w:t>s</w:t>
      </w:r>
      <w:r w:rsidRPr="00862A5A">
        <w:rPr>
          <w:b/>
        </w:rPr>
        <w:t xml:space="preserve"> have to opt in to the GHG pathway? Are there other</w:t>
      </w:r>
      <w:r w:rsidR="002567D6" w:rsidRPr="00862A5A">
        <w:rPr>
          <w:b/>
        </w:rPr>
        <w:t>,</w:t>
      </w:r>
      <w:r w:rsidRPr="00862A5A">
        <w:rPr>
          <w:b/>
        </w:rPr>
        <w:t xml:space="preserve"> </w:t>
      </w:r>
      <w:r w:rsidR="002567D6" w:rsidRPr="00862A5A">
        <w:rPr>
          <w:b/>
        </w:rPr>
        <w:t xml:space="preserve">administratively-simple </w:t>
      </w:r>
      <w:r w:rsidR="00453252" w:rsidRPr="00862A5A">
        <w:rPr>
          <w:b/>
        </w:rPr>
        <w:t>carrots or sticks</w:t>
      </w:r>
      <w:r w:rsidRPr="00862A5A">
        <w:rPr>
          <w:b/>
        </w:rPr>
        <w:t xml:space="preserve"> the Commission should consider</w:t>
      </w:r>
      <w:r w:rsidR="002567D6" w:rsidRPr="00862A5A">
        <w:rPr>
          <w:b/>
        </w:rPr>
        <w:t xml:space="preserve"> adopting</w:t>
      </w:r>
      <w:r w:rsidRPr="00862A5A">
        <w:rPr>
          <w:b/>
        </w:rPr>
        <w:t xml:space="preserve"> to encourage </w:t>
      </w:r>
      <w:r w:rsidR="002567D6" w:rsidRPr="00862A5A">
        <w:rPr>
          <w:b/>
        </w:rPr>
        <w:t xml:space="preserve">legacy </w:t>
      </w:r>
      <w:r w:rsidRPr="00862A5A">
        <w:rPr>
          <w:b/>
        </w:rPr>
        <w:t xml:space="preserve">systems to </w:t>
      </w:r>
      <w:r w:rsidR="002567D6" w:rsidRPr="00862A5A">
        <w:rPr>
          <w:b/>
        </w:rPr>
        <w:t>select</w:t>
      </w:r>
      <w:r w:rsidRPr="00862A5A">
        <w:rPr>
          <w:b/>
        </w:rPr>
        <w:t xml:space="preserve"> the GHG pathway?</w:t>
      </w:r>
    </w:p>
    <w:sectPr w:rsidR="00530072" w:rsidRPr="00C11172" w:rsidSect="007D26DD">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9A3AB" w14:textId="77777777" w:rsidR="00F03B28" w:rsidRDefault="00F03B28">
      <w:r>
        <w:separator/>
      </w:r>
    </w:p>
  </w:endnote>
  <w:endnote w:type="continuationSeparator" w:id="0">
    <w:p w14:paraId="5C8ED7FF" w14:textId="77777777" w:rsidR="00F03B28" w:rsidRDefault="00F03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7709532"/>
      <w:docPartObj>
        <w:docPartGallery w:val="Page Numbers (Bottom of Page)"/>
        <w:docPartUnique/>
      </w:docPartObj>
    </w:sdtPr>
    <w:sdtEndPr>
      <w:rPr>
        <w:rStyle w:val="PageNumber"/>
      </w:rPr>
    </w:sdtEndPr>
    <w:sdtContent>
      <w:p w14:paraId="41DA47B7" w14:textId="77777777" w:rsidR="004A1711" w:rsidRDefault="001F319A" w:rsidP="00DC7A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FE11EB" w14:textId="77777777" w:rsidR="004A1711" w:rsidRDefault="00F03B28" w:rsidP="004A17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988332"/>
      <w:docPartObj>
        <w:docPartGallery w:val="Page Numbers (Bottom of Page)"/>
        <w:docPartUnique/>
      </w:docPartObj>
    </w:sdtPr>
    <w:sdtEndPr>
      <w:rPr>
        <w:noProof/>
      </w:rPr>
    </w:sdtEndPr>
    <w:sdtContent>
      <w:p w14:paraId="4B34B643" w14:textId="1BF16E5F" w:rsidR="00F440E2" w:rsidRDefault="00F440E2">
        <w:pPr>
          <w:pStyle w:val="Footer"/>
        </w:pPr>
        <w:r>
          <w:fldChar w:fldCharType="begin"/>
        </w:r>
        <w:r>
          <w:instrText xml:space="preserve"> PAGE   \* MERGEFORMAT </w:instrText>
        </w:r>
        <w:r>
          <w:fldChar w:fldCharType="separate"/>
        </w:r>
        <w:r>
          <w:rPr>
            <w:noProof/>
          </w:rPr>
          <w:t>2</w:t>
        </w:r>
        <w:r>
          <w:rPr>
            <w:noProof/>
          </w:rPr>
          <w:fldChar w:fldCharType="end"/>
        </w:r>
      </w:p>
    </w:sdtContent>
  </w:sdt>
  <w:p w14:paraId="32A9E391" w14:textId="77777777" w:rsidR="004A1711" w:rsidRDefault="00F03B28" w:rsidP="004A17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03105" w14:textId="77777777" w:rsidR="00F03B28" w:rsidRDefault="00F03B28">
      <w:r>
        <w:separator/>
      </w:r>
    </w:p>
  </w:footnote>
  <w:footnote w:type="continuationSeparator" w:id="0">
    <w:p w14:paraId="033F459C" w14:textId="77777777" w:rsidR="00F03B28" w:rsidRDefault="00F03B28">
      <w:r>
        <w:continuationSeparator/>
      </w:r>
    </w:p>
  </w:footnote>
  <w:footnote w:id="1">
    <w:p w14:paraId="5A1EBAFD" w14:textId="42902DD5" w:rsidR="005613DE" w:rsidRDefault="005613DE">
      <w:pPr>
        <w:pStyle w:val="FootnoteText"/>
      </w:pPr>
      <w:r>
        <w:rPr>
          <w:rStyle w:val="FootnoteReference"/>
        </w:rPr>
        <w:footnoteRef/>
      </w:r>
      <w:r>
        <w:t xml:space="preserve"> </w:t>
      </w:r>
      <w:r w:rsidR="00C33BBE">
        <w:t>SB 700 (2018), SB 861 (2014)</w:t>
      </w:r>
    </w:p>
  </w:footnote>
  <w:footnote w:id="2">
    <w:p w14:paraId="255363A2" w14:textId="1E7A54D2" w:rsidR="00C33BBE" w:rsidRDefault="00C33BBE">
      <w:pPr>
        <w:pStyle w:val="FootnoteText"/>
      </w:pPr>
      <w:r>
        <w:rPr>
          <w:rStyle w:val="FootnoteReference"/>
        </w:rPr>
        <w:footnoteRef/>
      </w:r>
      <w:r>
        <w:t xml:space="preserve"> OSESMO: Open Source Energy Storage Model</w:t>
      </w:r>
    </w:p>
  </w:footnote>
  <w:footnote w:id="3">
    <w:p w14:paraId="72EC0392" w14:textId="0E8BFB07" w:rsidR="007602F2" w:rsidRDefault="007602F2" w:rsidP="007602F2">
      <w:pPr>
        <w:pStyle w:val="FootnoteText"/>
      </w:pPr>
      <w:r>
        <w:rPr>
          <w:rStyle w:val="FootnoteReference"/>
        </w:rPr>
        <w:footnoteRef/>
      </w:r>
      <w:r>
        <w:t xml:space="preserve"> In this document, “comments” refers to either opening or reply comments.</w:t>
      </w:r>
    </w:p>
  </w:footnote>
  <w:footnote w:id="4">
    <w:p w14:paraId="65C64790" w14:textId="2D45052C" w:rsidR="00F15812" w:rsidRDefault="00F15812">
      <w:pPr>
        <w:pStyle w:val="FootnoteText"/>
      </w:pPr>
      <w:r>
        <w:rPr>
          <w:rStyle w:val="FootnoteReference"/>
        </w:rPr>
        <w:footnoteRef/>
      </w:r>
      <w:r>
        <w:t xml:space="preserve"> After consulting with </w:t>
      </w:r>
      <w:r w:rsidR="00496E07">
        <w:t xml:space="preserve">Energy Division </w:t>
      </w:r>
      <w:r>
        <w:t>staff</w:t>
      </w:r>
      <w:r w:rsidR="00496E07">
        <w:t xml:space="preserve"> working on the IDER proceeding (R.14-10-003)</w:t>
      </w:r>
      <w:r>
        <w:t xml:space="preserve">, </w:t>
      </w:r>
      <w:r w:rsidR="00496E07">
        <w:t xml:space="preserve">we believe </w:t>
      </w:r>
      <w:r>
        <w:t xml:space="preserve">CALSSA </w:t>
      </w:r>
      <w:r w:rsidR="00496E07">
        <w:t>may in fact</w:t>
      </w:r>
      <w:r>
        <w:t xml:space="preserve"> </w:t>
      </w:r>
      <w:r w:rsidR="00496E07">
        <w:t>be citing</w:t>
      </w:r>
      <w:r>
        <w:t xml:space="preserve"> the carbon abatement cost used in </w:t>
      </w:r>
      <w:r w:rsidR="00496E07">
        <w:t>that</w:t>
      </w:r>
      <w:r>
        <w:t xml:space="preserve"> proceeding</w:t>
      </w:r>
      <w:r w:rsidR="00496E07">
        <w:t xml:space="preserve"> rather than a social cost of carbon, which has not yet been adopted</w:t>
      </w:r>
      <w:r>
        <w:t xml:space="preserve">. Values range </w:t>
      </w:r>
      <w:r w:rsidR="00496E07">
        <w:t xml:space="preserve">from </w:t>
      </w:r>
      <w:r>
        <w:t>$52.08</w:t>
      </w:r>
      <w:r w:rsidR="00496E07">
        <w:t>/ton</w:t>
      </w:r>
      <w:r>
        <w:t xml:space="preserve"> to $66.37</w:t>
      </w:r>
      <w:r w:rsidR="00496E07">
        <w:t>/ton</w:t>
      </w:r>
      <w:r>
        <w:t xml:space="preserve"> (2016 $). </w:t>
      </w:r>
    </w:p>
  </w:footnote>
  <w:footnote w:id="5">
    <w:p w14:paraId="79AF62EB" w14:textId="76AEF72B" w:rsidR="00230719" w:rsidRDefault="00230719">
      <w:pPr>
        <w:pStyle w:val="FootnoteText"/>
      </w:pPr>
      <w:r>
        <w:rPr>
          <w:rStyle w:val="FootnoteReference"/>
        </w:rPr>
        <w:footnoteRef/>
      </w:r>
      <w:r>
        <w:t xml:space="preserve"> </w:t>
      </w:r>
      <w:r w:rsidR="00496E07">
        <w:t>T</w:t>
      </w:r>
      <w:r>
        <w:t xml:space="preserve">his calculation </w:t>
      </w:r>
      <w:r w:rsidR="00496E07">
        <w:t xml:space="preserve">does not include the additional penalty proposed by staff </w:t>
      </w:r>
      <w:r>
        <w:t xml:space="preserve">for failing to reduce GHGs by at least 25 kg/kWh. Factoring in this additional penalty would increase the total payment reduction to $825, or 23% of the project’s annual PBI payment. </w:t>
      </w:r>
      <w:r w:rsidR="00496E07">
        <w:t xml:space="preserve">If </w:t>
      </w:r>
      <w:r>
        <w:t xml:space="preserve">the </w:t>
      </w:r>
      <w:r w:rsidR="00796F2D">
        <w:t>GHG reduction threshold</w:t>
      </w:r>
      <w:r w:rsidR="00496E07">
        <w:t xml:space="preserve"> were lowered</w:t>
      </w:r>
      <w:r>
        <w:t xml:space="preserve"> from 25 kg/kWh to 10 kg/kWh</w:t>
      </w:r>
      <w:r w:rsidR="00496E07">
        <w:t xml:space="preserve"> as proposed by PG&amp;E, </w:t>
      </w:r>
      <w:r>
        <w:t xml:space="preserve">the total payment reduction </w:t>
      </w:r>
      <w:r w:rsidR="00496E07">
        <w:t>would be</w:t>
      </w:r>
      <w:r>
        <w:t xml:space="preserve"> $600, or 17%</w:t>
      </w:r>
      <w:r w:rsidR="00796F2D" w:rsidRPr="00796F2D">
        <w:t xml:space="preserve"> </w:t>
      </w:r>
      <w:r w:rsidR="00796F2D">
        <w:t>of the project’s annual PBI payment.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DA9E9" w14:textId="26A28665" w:rsidR="00F440E2" w:rsidRPr="00E10B7F" w:rsidRDefault="008B3A1C" w:rsidP="00E10B7F">
    <w:pPr>
      <w:pStyle w:val="Header"/>
      <w:jc w:val="right"/>
      <w:rPr>
        <w:i/>
      </w:rPr>
    </w:pPr>
    <w:r w:rsidRPr="00E10B7F">
      <w:rPr>
        <w:i/>
      </w:rPr>
      <w:t>Revised 10/19/18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E51CF"/>
    <w:multiLevelType w:val="hybridMultilevel"/>
    <w:tmpl w:val="4B00A6F6"/>
    <w:lvl w:ilvl="0" w:tplc="04090001">
      <w:start w:val="1"/>
      <w:numFmt w:val="bullet"/>
      <w:lvlText w:val=""/>
      <w:lvlJc w:val="left"/>
      <w:pPr>
        <w:ind w:left="720" w:hanging="360"/>
      </w:pPr>
      <w:rPr>
        <w:rFonts w:ascii="Symbol" w:hAnsi="Symbol" w:hint="default"/>
      </w:rPr>
    </w:lvl>
    <w:lvl w:ilvl="1" w:tplc="D0829AC0">
      <w:start w:val="1"/>
      <w:numFmt w:val="decimal"/>
      <w:lvlText w:val="%2."/>
      <w:lvlJc w:val="left"/>
      <w:pPr>
        <w:ind w:left="720" w:hanging="360"/>
      </w:pPr>
      <w:rPr>
        <w:rFonts w:hint="default"/>
        <w:b w:val="0"/>
      </w:rPr>
    </w:lvl>
    <w:lvl w:ilvl="2" w:tplc="D0A02E54">
      <w:start w:val="1"/>
      <w:numFmt w:val="lowerLetter"/>
      <w:lvlText w:val="%3."/>
      <w:lvlJc w:val="left"/>
      <w:pPr>
        <w:ind w:left="1440" w:hanging="360"/>
      </w:pPr>
      <w:rPr>
        <w:rFonts w:hint="default"/>
        <w:b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AA219B"/>
    <w:multiLevelType w:val="hybridMultilevel"/>
    <w:tmpl w:val="D4463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E22292"/>
    <w:multiLevelType w:val="hybridMultilevel"/>
    <w:tmpl w:val="A33228D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1BCE19BA">
      <w:start w:val="1"/>
      <w:numFmt w:val="lowerLetter"/>
      <w:lvlText w:val="%3."/>
      <w:lvlJc w:val="left"/>
      <w:pPr>
        <w:ind w:left="2160" w:hanging="360"/>
      </w:pPr>
      <w:rPr>
        <w:rFonts w:hint="default"/>
        <w:b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16528E"/>
    <w:multiLevelType w:val="hybridMultilevel"/>
    <w:tmpl w:val="C5921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172"/>
    <w:rsid w:val="00060917"/>
    <w:rsid w:val="000F5B20"/>
    <w:rsid w:val="00145F62"/>
    <w:rsid w:val="001B080A"/>
    <w:rsid w:val="001F319A"/>
    <w:rsid w:val="00230719"/>
    <w:rsid w:val="00236C9C"/>
    <w:rsid w:val="002567D6"/>
    <w:rsid w:val="0027147C"/>
    <w:rsid w:val="00287811"/>
    <w:rsid w:val="003B1BE9"/>
    <w:rsid w:val="003C6E30"/>
    <w:rsid w:val="003D65FF"/>
    <w:rsid w:val="00413B1D"/>
    <w:rsid w:val="00413FD1"/>
    <w:rsid w:val="004316D9"/>
    <w:rsid w:val="00431A97"/>
    <w:rsid w:val="00453252"/>
    <w:rsid w:val="00496E07"/>
    <w:rsid w:val="004E6ABB"/>
    <w:rsid w:val="00530072"/>
    <w:rsid w:val="005613DE"/>
    <w:rsid w:val="005F1B74"/>
    <w:rsid w:val="00651302"/>
    <w:rsid w:val="006A664B"/>
    <w:rsid w:val="006D17DA"/>
    <w:rsid w:val="006E7647"/>
    <w:rsid w:val="006F485F"/>
    <w:rsid w:val="007602F2"/>
    <w:rsid w:val="00796F2D"/>
    <w:rsid w:val="0085344E"/>
    <w:rsid w:val="00862A5A"/>
    <w:rsid w:val="008B3A1C"/>
    <w:rsid w:val="009325BA"/>
    <w:rsid w:val="00962938"/>
    <w:rsid w:val="009639BE"/>
    <w:rsid w:val="0099704F"/>
    <w:rsid w:val="009A4370"/>
    <w:rsid w:val="009D4C02"/>
    <w:rsid w:val="00AC0DB7"/>
    <w:rsid w:val="00B26FF2"/>
    <w:rsid w:val="00B369A2"/>
    <w:rsid w:val="00B37E61"/>
    <w:rsid w:val="00B44C00"/>
    <w:rsid w:val="00B62B50"/>
    <w:rsid w:val="00B86672"/>
    <w:rsid w:val="00B87591"/>
    <w:rsid w:val="00BD277E"/>
    <w:rsid w:val="00C11172"/>
    <w:rsid w:val="00C31D7A"/>
    <w:rsid w:val="00C33BBE"/>
    <w:rsid w:val="00CA64EC"/>
    <w:rsid w:val="00CB72F1"/>
    <w:rsid w:val="00CB758C"/>
    <w:rsid w:val="00D746E1"/>
    <w:rsid w:val="00D76792"/>
    <w:rsid w:val="00D939D6"/>
    <w:rsid w:val="00DB3362"/>
    <w:rsid w:val="00E10B7F"/>
    <w:rsid w:val="00E45211"/>
    <w:rsid w:val="00F03B28"/>
    <w:rsid w:val="00F15812"/>
    <w:rsid w:val="00F440E2"/>
    <w:rsid w:val="00FA6C6D"/>
    <w:rsid w:val="00FB6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4085E"/>
  <w15:chartTrackingRefBased/>
  <w15:docId w15:val="{D4FEF284-7CD7-4051-9A52-59DB11FBE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172"/>
    <w:pPr>
      <w:spacing w:after="0"/>
    </w:pPr>
    <w:rPr>
      <w:sz w:val="24"/>
      <w:szCs w:val="24"/>
    </w:rPr>
  </w:style>
  <w:style w:type="paragraph" w:styleId="Heading2">
    <w:name w:val="heading 2"/>
    <w:basedOn w:val="Normal"/>
    <w:next w:val="Normal"/>
    <w:link w:val="Heading2Char"/>
    <w:uiPriority w:val="9"/>
    <w:unhideWhenUsed/>
    <w:qFormat/>
    <w:rsid w:val="00F440E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440E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F440E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172"/>
    <w:pPr>
      <w:ind w:left="720"/>
      <w:contextualSpacing/>
    </w:pPr>
  </w:style>
  <w:style w:type="paragraph" w:styleId="Footer">
    <w:name w:val="footer"/>
    <w:basedOn w:val="Normal"/>
    <w:link w:val="FooterChar"/>
    <w:uiPriority w:val="99"/>
    <w:unhideWhenUsed/>
    <w:rsid w:val="00C11172"/>
    <w:pPr>
      <w:tabs>
        <w:tab w:val="center" w:pos="4680"/>
        <w:tab w:val="right" w:pos="9360"/>
      </w:tabs>
    </w:pPr>
  </w:style>
  <w:style w:type="character" w:customStyle="1" w:styleId="FooterChar">
    <w:name w:val="Footer Char"/>
    <w:basedOn w:val="DefaultParagraphFont"/>
    <w:link w:val="Footer"/>
    <w:uiPriority w:val="99"/>
    <w:rsid w:val="00C11172"/>
    <w:rPr>
      <w:sz w:val="24"/>
      <w:szCs w:val="24"/>
    </w:rPr>
  </w:style>
  <w:style w:type="character" w:styleId="PageNumber">
    <w:name w:val="page number"/>
    <w:basedOn w:val="DefaultParagraphFont"/>
    <w:uiPriority w:val="99"/>
    <w:semiHidden/>
    <w:unhideWhenUsed/>
    <w:rsid w:val="00C11172"/>
  </w:style>
  <w:style w:type="character" w:styleId="CommentReference">
    <w:name w:val="annotation reference"/>
    <w:basedOn w:val="DefaultParagraphFont"/>
    <w:uiPriority w:val="99"/>
    <w:semiHidden/>
    <w:unhideWhenUsed/>
    <w:rsid w:val="00C11172"/>
    <w:rPr>
      <w:sz w:val="18"/>
      <w:szCs w:val="18"/>
    </w:rPr>
  </w:style>
  <w:style w:type="paragraph" w:styleId="CommentText">
    <w:name w:val="annotation text"/>
    <w:basedOn w:val="Normal"/>
    <w:link w:val="CommentTextChar"/>
    <w:uiPriority w:val="99"/>
    <w:semiHidden/>
    <w:unhideWhenUsed/>
    <w:rsid w:val="00C11172"/>
  </w:style>
  <w:style w:type="character" w:customStyle="1" w:styleId="CommentTextChar">
    <w:name w:val="Comment Text Char"/>
    <w:basedOn w:val="DefaultParagraphFont"/>
    <w:link w:val="CommentText"/>
    <w:uiPriority w:val="99"/>
    <w:semiHidden/>
    <w:rsid w:val="00C11172"/>
    <w:rPr>
      <w:sz w:val="24"/>
      <w:szCs w:val="24"/>
    </w:rPr>
  </w:style>
  <w:style w:type="paragraph" w:styleId="BalloonText">
    <w:name w:val="Balloon Text"/>
    <w:basedOn w:val="Normal"/>
    <w:link w:val="BalloonTextChar"/>
    <w:uiPriority w:val="99"/>
    <w:semiHidden/>
    <w:unhideWhenUsed/>
    <w:rsid w:val="00C111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17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9704F"/>
    <w:rPr>
      <w:b/>
      <w:bCs/>
      <w:sz w:val="20"/>
      <w:szCs w:val="20"/>
    </w:rPr>
  </w:style>
  <w:style w:type="character" w:customStyle="1" w:styleId="CommentSubjectChar">
    <w:name w:val="Comment Subject Char"/>
    <w:basedOn w:val="CommentTextChar"/>
    <w:link w:val="CommentSubject"/>
    <w:uiPriority w:val="99"/>
    <w:semiHidden/>
    <w:rsid w:val="0099704F"/>
    <w:rPr>
      <w:b/>
      <w:bCs/>
      <w:sz w:val="20"/>
      <w:szCs w:val="20"/>
    </w:rPr>
  </w:style>
  <w:style w:type="character" w:styleId="FollowedHyperlink">
    <w:name w:val="FollowedHyperlink"/>
    <w:basedOn w:val="DefaultParagraphFont"/>
    <w:uiPriority w:val="99"/>
    <w:semiHidden/>
    <w:unhideWhenUsed/>
    <w:rsid w:val="00D76792"/>
    <w:rPr>
      <w:color w:val="800080" w:themeColor="followedHyperlink"/>
      <w:u w:val="single"/>
    </w:rPr>
  </w:style>
  <w:style w:type="character" w:customStyle="1" w:styleId="Heading2Char">
    <w:name w:val="Heading 2 Char"/>
    <w:basedOn w:val="DefaultParagraphFont"/>
    <w:link w:val="Heading2"/>
    <w:uiPriority w:val="9"/>
    <w:rsid w:val="00F440E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440E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F440E2"/>
    <w:rPr>
      <w:rFonts w:asciiTheme="majorHAnsi" w:eastAsiaTheme="majorEastAsia" w:hAnsiTheme="majorHAnsi" w:cstheme="majorBidi"/>
      <w:i/>
      <w:iCs/>
      <w:color w:val="365F91" w:themeColor="accent1" w:themeShade="BF"/>
      <w:sz w:val="24"/>
      <w:szCs w:val="24"/>
    </w:rPr>
  </w:style>
  <w:style w:type="paragraph" w:styleId="Header">
    <w:name w:val="header"/>
    <w:basedOn w:val="Normal"/>
    <w:link w:val="HeaderChar"/>
    <w:uiPriority w:val="99"/>
    <w:unhideWhenUsed/>
    <w:rsid w:val="00F440E2"/>
    <w:pPr>
      <w:tabs>
        <w:tab w:val="center" w:pos="4680"/>
        <w:tab w:val="right" w:pos="9360"/>
      </w:tabs>
    </w:pPr>
  </w:style>
  <w:style w:type="character" w:customStyle="1" w:styleId="HeaderChar">
    <w:name w:val="Header Char"/>
    <w:basedOn w:val="DefaultParagraphFont"/>
    <w:link w:val="Header"/>
    <w:uiPriority w:val="99"/>
    <w:rsid w:val="00F440E2"/>
    <w:rPr>
      <w:sz w:val="24"/>
      <w:szCs w:val="24"/>
    </w:rPr>
  </w:style>
  <w:style w:type="paragraph" w:styleId="FootnoteText">
    <w:name w:val="footnote text"/>
    <w:basedOn w:val="Normal"/>
    <w:link w:val="FootnoteTextChar"/>
    <w:uiPriority w:val="99"/>
    <w:semiHidden/>
    <w:unhideWhenUsed/>
    <w:rsid w:val="005613DE"/>
    <w:rPr>
      <w:sz w:val="20"/>
      <w:szCs w:val="20"/>
    </w:rPr>
  </w:style>
  <w:style w:type="character" w:customStyle="1" w:styleId="FootnoteTextChar">
    <w:name w:val="Footnote Text Char"/>
    <w:basedOn w:val="DefaultParagraphFont"/>
    <w:link w:val="FootnoteText"/>
    <w:uiPriority w:val="99"/>
    <w:semiHidden/>
    <w:rsid w:val="005613DE"/>
    <w:rPr>
      <w:sz w:val="20"/>
      <w:szCs w:val="20"/>
    </w:rPr>
  </w:style>
  <w:style w:type="character" w:styleId="FootnoteReference">
    <w:name w:val="footnote reference"/>
    <w:basedOn w:val="DefaultParagraphFont"/>
    <w:uiPriority w:val="99"/>
    <w:semiHidden/>
    <w:unhideWhenUsed/>
    <w:rsid w:val="005613DE"/>
    <w:rPr>
      <w:vertAlign w:val="superscript"/>
    </w:rPr>
  </w:style>
  <w:style w:type="paragraph" w:styleId="Revision">
    <w:name w:val="Revision"/>
    <w:hidden/>
    <w:uiPriority w:val="99"/>
    <w:semiHidden/>
    <w:rsid w:val="00230719"/>
    <w:pPr>
      <w:spacing w:after="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91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3DC6CF16686B4BA2933CFE51EE0CE7" ma:contentTypeVersion="9" ma:contentTypeDescription="Create a new document." ma:contentTypeScope="" ma:versionID="2432b72e5c00d0ffcec92d6302f57990">
  <xsd:schema xmlns:xsd="http://www.w3.org/2001/XMLSchema" xmlns:xs="http://www.w3.org/2001/XMLSchema" xmlns:p="http://schemas.microsoft.com/office/2006/metadata/properties" xmlns:ns2="8e5901ec-b161-45b4-a2b9-e2fec7e53931" xmlns:ns3="9906f322-3aa4-452a-acdd-a6e6b535267d" targetNamespace="http://schemas.microsoft.com/office/2006/metadata/properties" ma:root="true" ma:fieldsID="ee90721658d98808d774fe67168eebcf" ns2:_="" ns3:_="">
    <xsd:import namespace="8e5901ec-b161-45b4-a2b9-e2fec7e53931"/>
    <xsd:import namespace="9906f322-3aa4-452a-acdd-a6e6b53526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901ec-b161-45b4-a2b9-e2fec7e539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6f322-3aa4-452a-acdd-a6e6b53526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79B08-A935-4B21-B57C-BC513BB59B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1F6243-6A37-409A-A86C-05A3849C1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901ec-b161-45b4-a2b9-e2fec7e53931"/>
    <ds:schemaRef ds:uri="9906f322-3aa4-452a-acdd-a6e6b5352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23EDA8-85CD-4DB9-A833-32D3DB6DEE3A}">
  <ds:schemaRefs>
    <ds:schemaRef ds:uri="http://schemas.microsoft.com/sharepoint/v3/contenttype/forms"/>
  </ds:schemaRefs>
</ds:datastoreItem>
</file>

<file path=customXml/itemProps4.xml><?xml version="1.0" encoding="utf-8"?>
<ds:datastoreItem xmlns:ds="http://schemas.openxmlformats.org/officeDocument/2006/customXml" ds:itemID="{3221DE64-636E-463A-ADFF-DFCD45E42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1705</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Mary Claire E.</dc:creator>
  <cp:keywords/>
  <dc:description/>
  <cp:lastModifiedBy>Besarabova, Natalya</cp:lastModifiedBy>
  <cp:revision>2</cp:revision>
  <cp:lastPrinted>2018-10-16T22:43:00Z</cp:lastPrinted>
  <dcterms:created xsi:type="dcterms:W3CDTF">2021-06-30T00:23:00Z</dcterms:created>
  <dcterms:modified xsi:type="dcterms:W3CDTF">2021-06-30T00:23:00Z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0x010100393DC6CF16686B4BA2933CFE51EE0CE7</vt:lpwstr>
  </property>
</Properties>
</file>