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A41B8" w14:textId="6F9C457B" w:rsidR="00FB00BD" w:rsidRPr="00711E01" w:rsidRDefault="00FB00BD" w:rsidP="00FB00BD">
      <w:pPr>
        <w:pStyle w:val="Heading5"/>
        <w:jc w:val="center"/>
        <w:rPr>
          <w:color w:val="212121"/>
          <w:sz w:val="40"/>
          <w:szCs w:val="40"/>
          <w:lang w:val="en-US"/>
        </w:rPr>
      </w:pPr>
      <w:r w:rsidRPr="00711E01">
        <w:rPr>
          <w:color w:val="212121"/>
          <w:sz w:val="40"/>
          <w:szCs w:val="40"/>
          <w:lang w:val="en-US"/>
        </w:rPr>
        <w:t>Informal Comments from Hydrostor on IRP Procurement Compliance Questions</w:t>
      </w:r>
    </w:p>
    <w:p w14:paraId="5DBD183F" w14:textId="67EB55F1" w:rsidR="00AB560A" w:rsidRDefault="00711E01" w:rsidP="00FB00BD">
      <w:pPr>
        <w:pStyle w:val="Heading1"/>
        <w:rPr>
          <w:rFonts w:ascii="Arial Nova" w:hAnsi="Arial Nova"/>
          <w:b/>
          <w:bCs/>
          <w:color w:val="212121"/>
          <w:sz w:val="24"/>
          <w:szCs w:val="24"/>
        </w:rPr>
      </w:pPr>
      <w:r w:rsidRPr="00711E01">
        <w:rPr>
          <w:rFonts w:ascii="Arial Nova" w:hAnsi="Arial Nova"/>
          <w:b/>
          <w:bCs/>
          <w:color w:val="212121"/>
          <w:sz w:val="28"/>
          <w:szCs w:val="28"/>
        </w:rPr>
        <w:t>Submitted By:</w:t>
      </w:r>
      <w:r>
        <w:rPr>
          <w:rFonts w:ascii="Arial Nova" w:hAnsi="Arial Nova"/>
          <w:color w:val="212121"/>
          <w:sz w:val="24"/>
          <w:szCs w:val="24"/>
        </w:rPr>
        <w:t xml:space="preserve"> G</w:t>
      </w:r>
      <w:r w:rsidR="00AB560A" w:rsidRPr="00D144D9">
        <w:rPr>
          <w:rFonts w:ascii="Arial Nova" w:hAnsi="Arial Nova"/>
          <w:color w:val="212121"/>
          <w:sz w:val="24"/>
          <w:szCs w:val="24"/>
        </w:rPr>
        <w:t>abe Murtaugh, Director of Regulatory Affairs, Western US</w:t>
      </w:r>
    </w:p>
    <w:p w14:paraId="0AB357A7" w14:textId="6D01139B" w:rsidR="00AB560A" w:rsidRPr="00AB560A" w:rsidRDefault="0010417D" w:rsidP="00AB560A">
      <w:pPr>
        <w:rPr>
          <w:lang w:val="en-US"/>
        </w:rPr>
      </w:pPr>
      <w:r w:rsidRPr="00711E01">
        <w:rPr>
          <w:b/>
          <w:bCs/>
          <w:sz w:val="28"/>
          <w:szCs w:val="28"/>
          <w:lang w:val="en-US"/>
        </w:rPr>
        <w:t>Dat</w:t>
      </w:r>
      <w:r w:rsidR="00711E01">
        <w:rPr>
          <w:b/>
          <w:bCs/>
          <w:sz w:val="28"/>
          <w:szCs w:val="28"/>
          <w:lang w:val="en-US"/>
        </w:rPr>
        <w:t>e:</w:t>
      </w:r>
      <w:r>
        <w:rPr>
          <w:lang w:val="en-US"/>
        </w:rPr>
        <w:t xml:space="preserve"> </w:t>
      </w:r>
      <w:r w:rsidR="00D144D9">
        <w:rPr>
          <w:lang w:val="en-US"/>
        </w:rPr>
        <w:t>7/</w:t>
      </w:r>
      <w:r>
        <w:rPr>
          <w:lang w:val="en-US"/>
        </w:rPr>
        <w:t>14/2026</w:t>
      </w:r>
    </w:p>
    <w:p w14:paraId="6A0B9E3A" w14:textId="0001BD05" w:rsidR="00FB00BD" w:rsidRPr="00FB00BD" w:rsidRDefault="00FB00BD" w:rsidP="00FB00BD">
      <w:pPr>
        <w:pStyle w:val="Heading1"/>
        <w:rPr>
          <w:rFonts w:ascii="Arial Nova" w:hAnsi="Arial Nova"/>
          <w:b/>
          <w:bCs/>
          <w:color w:val="212121"/>
          <w:sz w:val="24"/>
          <w:szCs w:val="24"/>
          <w:lang w:val="en-CA"/>
        </w:rPr>
      </w:pPr>
      <w:r w:rsidRPr="00FB00BD">
        <w:rPr>
          <w:rFonts w:ascii="Arial Nova" w:hAnsi="Arial Nova"/>
          <w:b/>
          <w:bCs/>
          <w:color w:val="212121"/>
          <w:sz w:val="24"/>
          <w:szCs w:val="24"/>
          <w:lang w:val="en-CA"/>
        </w:rPr>
        <w:t>Section 1. Net Cone</w:t>
      </w:r>
    </w:p>
    <w:p w14:paraId="5AC21792" w14:textId="77777777" w:rsidR="00FB00BD" w:rsidRPr="00FB00BD" w:rsidRDefault="00FB00BD" w:rsidP="00FB00BD">
      <w:pPr>
        <w:pStyle w:val="Heading2"/>
        <w:rPr>
          <w:sz w:val="24"/>
          <w:szCs w:val="24"/>
          <w:lang w:val="en-CA"/>
        </w:rPr>
      </w:pPr>
      <w:r w:rsidRPr="00FB00BD">
        <w:rPr>
          <w:sz w:val="24"/>
          <w:szCs w:val="24"/>
          <w:lang w:val="en-CA"/>
        </w:rPr>
        <w:t>1.1 Should a mechanism other than Net Cost of New Entry (CONE) be used to determine the penalty for procurement non-compliance? If yes, what mechanism?</w:t>
      </w:r>
    </w:p>
    <w:p w14:paraId="630F2995" w14:textId="77777777" w:rsidR="00FB00BD" w:rsidRPr="00FB00BD" w:rsidRDefault="00FB00BD" w:rsidP="00FB00BD">
      <w:pPr>
        <w:rPr>
          <w:sz w:val="24"/>
          <w:szCs w:val="24"/>
        </w:rPr>
      </w:pPr>
      <w:r w:rsidRPr="00FB00BD">
        <w:rPr>
          <w:b/>
          <w:bCs/>
          <w:sz w:val="24"/>
          <w:szCs w:val="24"/>
        </w:rPr>
        <w:t>Response:</w:t>
      </w:r>
      <w:r w:rsidRPr="00FB00BD">
        <w:rPr>
          <w:sz w:val="24"/>
          <w:szCs w:val="24"/>
        </w:rPr>
        <w:t xml:space="preserve"> Hydrostor is not opposed to the Commission exploring a mechanism other than Net CONE to set penalties for IRP procurement non-compliance.  Any mechanism used by the Commission, however, should correct deficiencies and compliance disincentives of the current net CONE method.  Whether net CONE or a new methodology, the penalty structure should be clearly conveyed to market participants on an annual basis, including forecasts for future years of the penalty amount, and the applicable penalty amount should depend on the category of the resource that the LSE has failed to timely procure, as opposed to a generic capacity cost or example resource-based measure.  </w:t>
      </w:r>
    </w:p>
    <w:p w14:paraId="57BB2865" w14:textId="77777777" w:rsidR="00FB00BD" w:rsidRPr="00FB00BD" w:rsidRDefault="00FB00BD" w:rsidP="00FB00BD">
      <w:pPr>
        <w:rPr>
          <w:sz w:val="24"/>
          <w:szCs w:val="24"/>
        </w:rPr>
      </w:pPr>
      <w:r w:rsidRPr="00FB00BD">
        <w:rPr>
          <w:sz w:val="24"/>
          <w:szCs w:val="24"/>
        </w:rPr>
        <w:t>At this time, it is difficult for LSEs and resource developers to carve together, or agree to, what net CONE will likely consist of in a future compliance year. This matters for parties engaged in contracting a specific resource.  It also appears to be the case that net CONE remains based on costs associated with a 4-hour battery resource, which are not long lead-time resources (LLT) and not reflective of LLT avoided costs, that have been ordered for procurement by D. 21-06-035 and by D. 26-02-057.  See, for example, the latest description of net CONE that can be found in Commission guidance materials:</w:t>
      </w:r>
    </w:p>
    <w:p w14:paraId="4209A0C7" w14:textId="77777777" w:rsidR="00FB00BD" w:rsidRPr="00FB00BD" w:rsidRDefault="00FB00BD" w:rsidP="00FB00BD">
      <w:pPr>
        <w:ind w:left="720"/>
        <w:rPr>
          <w:sz w:val="24"/>
          <w:szCs w:val="24"/>
        </w:rPr>
      </w:pPr>
      <w:r w:rsidRPr="00FB00BD">
        <w:rPr>
          <w:sz w:val="24"/>
          <w:szCs w:val="24"/>
        </w:rPr>
        <w:t xml:space="preserve">5.6. Penalties *** </w:t>
      </w:r>
    </w:p>
    <w:p w14:paraId="0669D653" w14:textId="77777777" w:rsidR="00FB00BD" w:rsidRPr="00FB00BD" w:rsidRDefault="00FB00BD" w:rsidP="00FB00BD">
      <w:pPr>
        <w:ind w:left="1080"/>
        <w:rPr>
          <w:sz w:val="24"/>
          <w:szCs w:val="24"/>
        </w:rPr>
      </w:pPr>
      <w:r w:rsidRPr="00FB00BD">
        <w:rPr>
          <w:sz w:val="24"/>
          <w:szCs w:val="24"/>
        </w:rPr>
        <w:t xml:space="preserve">5.6.1. The net cost of new entry (CONE) is an annual value that represents the levelized fixed costs of a new battery minus the estimated revenues the battery earns in the energy and ancillary markets. Thus, the net CONE corresponds to the year the battery is expected to begin dispatch. Can the Commission confirm that, when calculating the penalty an LSE must pay, the net CONE for the year in which the backstop resource is expected to come online will be used? </w:t>
      </w:r>
    </w:p>
    <w:p w14:paraId="254FF470" w14:textId="77777777" w:rsidR="00FB00BD" w:rsidRPr="00FB00BD" w:rsidRDefault="00FB00BD" w:rsidP="00FB00BD">
      <w:pPr>
        <w:ind w:left="1080"/>
        <w:rPr>
          <w:sz w:val="24"/>
          <w:szCs w:val="24"/>
        </w:rPr>
      </w:pPr>
      <w:r w:rsidRPr="00FB00BD">
        <w:rPr>
          <w:sz w:val="24"/>
          <w:szCs w:val="24"/>
        </w:rPr>
        <w:lastRenderedPageBreak/>
        <w:t xml:space="preserve">For example, if an LSE fails to procure to meet its 2025 obligation and backstop procurement is triggered, the net CONE that would be applied to calculate the penalty would be the net CONE for the year in which the backstop resource is expected to come online, not the net CONE for the year in which the penalty is assessed.  </w:t>
      </w:r>
    </w:p>
    <w:p w14:paraId="07612EB4" w14:textId="77777777" w:rsidR="00FB00BD" w:rsidRPr="00FB00BD" w:rsidRDefault="00FB00BD" w:rsidP="00FB00BD">
      <w:pPr>
        <w:ind w:left="1080"/>
        <w:rPr>
          <w:sz w:val="24"/>
          <w:szCs w:val="24"/>
        </w:rPr>
      </w:pPr>
      <w:r w:rsidRPr="00FB00BD">
        <w:rPr>
          <w:sz w:val="24"/>
          <w:szCs w:val="24"/>
        </w:rPr>
        <w:t xml:space="preserve">The assumption included in the question – that the CONE penalty will be equal to the CONE for the year in which the backstop resource comes online – is incorrect.  The CONE value used in calculating penalties will be the year in which the penalty is assessed. Since the year in which the backstop resource will come online will be uncertain, using the CONE for the year the penalty is assessed will be more transparent and make penalty costs clear in a timely fashion.  For the example above, if the penalty is assessed in 2025 the CONE used will be also for the year 2025. Note there are other factors that may impact the total </w:t>
      </w:r>
      <w:proofErr w:type="gramStart"/>
      <w:r w:rsidRPr="00FB00BD">
        <w:rPr>
          <w:sz w:val="24"/>
          <w:szCs w:val="24"/>
        </w:rPr>
        <w:t>penalty(</w:t>
      </w:r>
      <w:proofErr w:type="gramEnd"/>
      <w:r w:rsidRPr="00FB00BD">
        <w:rPr>
          <w:sz w:val="24"/>
          <w:szCs w:val="24"/>
        </w:rPr>
        <w:t xml:space="preserve">for example, if the LSE is still deficient in 2026.) </w:t>
      </w:r>
    </w:p>
    <w:p w14:paraId="364963D7" w14:textId="77777777" w:rsidR="00FB00BD" w:rsidRPr="00FB00BD" w:rsidRDefault="00FB00BD" w:rsidP="00FB00BD">
      <w:pPr>
        <w:ind w:left="720"/>
        <w:rPr>
          <w:sz w:val="24"/>
          <w:szCs w:val="24"/>
        </w:rPr>
      </w:pPr>
      <w:r w:rsidRPr="00FB00BD">
        <w:rPr>
          <w:sz w:val="24"/>
          <w:szCs w:val="24"/>
        </w:rPr>
        <w:t>*** Please note that staff’s August 2021 answer to question 5.6 included a table with sample values. Staff has removed the table to avoid confusion as the values of net CONE in the ACC are subject to regular updates.</w:t>
      </w:r>
    </w:p>
    <w:p w14:paraId="38880EA4" w14:textId="77777777" w:rsidR="00FB00BD" w:rsidRPr="00FB00BD" w:rsidRDefault="00FB00BD" w:rsidP="00FB00BD">
      <w:pPr>
        <w:rPr>
          <w:sz w:val="24"/>
          <w:szCs w:val="24"/>
        </w:rPr>
      </w:pPr>
      <w:r w:rsidRPr="00FB00BD">
        <w:rPr>
          <w:sz w:val="24"/>
          <w:szCs w:val="24"/>
        </w:rPr>
        <w:t>(Energy Division Staff’s Responses to Frequently Asked Questions on Mid-Term Reliability Procurement Decision (D.) 21-06-035, Version 6.1: 06/17/2025)</w:t>
      </w:r>
    </w:p>
    <w:p w14:paraId="56A673C2" w14:textId="77777777" w:rsidR="00FB00BD" w:rsidRPr="00FB00BD" w:rsidRDefault="00FB00BD" w:rsidP="00FB00BD">
      <w:pPr>
        <w:rPr>
          <w:sz w:val="24"/>
          <w:szCs w:val="24"/>
        </w:rPr>
      </w:pPr>
      <w:r w:rsidRPr="00FB00BD">
        <w:rPr>
          <w:sz w:val="24"/>
          <w:szCs w:val="24"/>
        </w:rPr>
        <w:t xml:space="preserve">Where LSEs do not face penalties that will fall in a predictable range and do not face penalties that are consistent with the costs associated with the resource the LSE has failed to procure, then LSEs will not be properly incentivized to meet IRP’s mandatory procurement orders.  Specifically, if </w:t>
      </w:r>
      <w:proofErr w:type="gramStart"/>
      <w:r w:rsidRPr="00FB00BD">
        <w:rPr>
          <w:sz w:val="24"/>
          <w:szCs w:val="24"/>
        </w:rPr>
        <w:t>a</w:t>
      </w:r>
      <w:proofErr w:type="gramEnd"/>
      <w:r w:rsidRPr="00FB00BD">
        <w:rPr>
          <w:sz w:val="24"/>
          <w:szCs w:val="24"/>
        </w:rPr>
        <w:t xml:space="preserve"> LSE is required to procure long duration energy storage resources (“LDES”) or long lead-time LDES, those resources entities should be </w:t>
      </w:r>
      <w:proofErr w:type="gramStart"/>
      <w:r w:rsidRPr="00FB00BD">
        <w:rPr>
          <w:sz w:val="24"/>
          <w:szCs w:val="24"/>
        </w:rPr>
        <w:t>face</w:t>
      </w:r>
      <w:proofErr w:type="gramEnd"/>
      <w:r w:rsidRPr="00FB00BD">
        <w:rPr>
          <w:sz w:val="24"/>
          <w:szCs w:val="24"/>
        </w:rPr>
        <w:t xml:space="preserve"> a penalty equal to CONE for LDES resources and long lead-time LDES resources, respectively.  Finally, the Commission carefully consider a penalty price for a “clean firm” resources, as this is not specific to one class of resource and thus could result in procurement form several different types of resources and technologies. </w:t>
      </w:r>
    </w:p>
    <w:p w14:paraId="4AB3AC92" w14:textId="77777777" w:rsidR="00FB00BD" w:rsidRPr="00FB00BD" w:rsidRDefault="00FB00BD" w:rsidP="00FB00BD">
      <w:pPr>
        <w:pStyle w:val="Heading2"/>
        <w:rPr>
          <w:sz w:val="24"/>
          <w:szCs w:val="24"/>
        </w:rPr>
      </w:pPr>
      <w:r w:rsidRPr="00FB00BD">
        <w:rPr>
          <w:sz w:val="24"/>
          <w:szCs w:val="24"/>
        </w:rPr>
        <w:t>1.2 Should the penalty be proportionate to the Load Serving Entities (LSE’s) load served so that its ratepayers are not disproportionately and inequitably affected? Explain.</w:t>
      </w:r>
    </w:p>
    <w:p w14:paraId="69F047BC" w14:textId="77777777" w:rsidR="00FB00BD" w:rsidRDefault="00FB00BD" w:rsidP="00FB00BD">
      <w:r>
        <w:rPr>
          <w:b/>
          <w:bCs/>
        </w:rPr>
        <w:t>Response:</w:t>
      </w:r>
      <w:r>
        <w:t xml:space="preserve"> Hydrostor does not see how this is a concern.  LSEs procurement obligations are dependent on the LSE-specific allocations of the aggregate procurement capacity ordered.  Therefore, any LSE-specific shortfall should already reflect the size of the LSE’s load.</w:t>
      </w:r>
    </w:p>
    <w:p w14:paraId="41FCEA50" w14:textId="77777777" w:rsidR="00FB00BD" w:rsidRPr="00FB00BD" w:rsidRDefault="00FB00BD" w:rsidP="00FB00BD">
      <w:pPr>
        <w:pStyle w:val="Heading2"/>
        <w:rPr>
          <w:sz w:val="24"/>
          <w:szCs w:val="24"/>
        </w:rPr>
      </w:pPr>
      <w:r w:rsidRPr="00FB00BD">
        <w:rPr>
          <w:sz w:val="24"/>
          <w:szCs w:val="24"/>
        </w:rPr>
        <w:t>1.3 Is there a reason that a specific dollar amount should not be provided to replace Net CONE? If yes, explain why.</w:t>
      </w:r>
    </w:p>
    <w:p w14:paraId="1EB5D1F0" w14:textId="77777777" w:rsidR="00FB00BD" w:rsidRPr="00FB00BD" w:rsidRDefault="00FB00BD" w:rsidP="00FB00BD">
      <w:pPr>
        <w:rPr>
          <w:sz w:val="24"/>
          <w:szCs w:val="24"/>
        </w:rPr>
      </w:pPr>
      <w:r w:rsidRPr="00FB00BD">
        <w:rPr>
          <w:b/>
          <w:bCs/>
          <w:sz w:val="24"/>
          <w:szCs w:val="24"/>
        </w:rPr>
        <w:t>Response:</w:t>
      </w:r>
      <w:r w:rsidRPr="00FB00BD">
        <w:rPr>
          <w:sz w:val="24"/>
          <w:szCs w:val="24"/>
        </w:rPr>
        <w:t xml:space="preserve"> Hydrostor opposes this concept to the extent that any pre-set dollar amount could become outdated, fail to reflect resource-specific costs or changing technology </w:t>
      </w:r>
      <w:r w:rsidRPr="00FB00BD">
        <w:rPr>
          <w:sz w:val="24"/>
          <w:szCs w:val="24"/>
        </w:rPr>
        <w:lastRenderedPageBreak/>
        <w:t>costs, or where such an amount is set so low as to allow LSEs to select incurring the penalty instead of acting on the Commission’s order to procure resource capacity.</w:t>
      </w:r>
    </w:p>
    <w:p w14:paraId="4043939E" w14:textId="77777777" w:rsidR="00FB00BD" w:rsidRPr="00FB00BD" w:rsidRDefault="00FB00BD" w:rsidP="00FB00BD">
      <w:pPr>
        <w:pStyle w:val="Heading2"/>
        <w:rPr>
          <w:sz w:val="24"/>
          <w:szCs w:val="24"/>
        </w:rPr>
      </w:pPr>
      <w:r w:rsidRPr="00FB00BD">
        <w:rPr>
          <w:sz w:val="24"/>
          <w:szCs w:val="24"/>
        </w:rPr>
        <w:t>1.4 Should application of procurement penalties be determined annually following June 1st?</w:t>
      </w:r>
    </w:p>
    <w:p w14:paraId="7B82ED69" w14:textId="77777777" w:rsidR="00FB00BD" w:rsidRPr="00FB00BD" w:rsidRDefault="00FB00BD" w:rsidP="00FB00BD">
      <w:pPr>
        <w:rPr>
          <w:sz w:val="24"/>
          <w:szCs w:val="24"/>
        </w:rPr>
      </w:pPr>
      <w:r w:rsidRPr="00FB00BD">
        <w:rPr>
          <w:b/>
          <w:bCs/>
          <w:sz w:val="24"/>
          <w:szCs w:val="24"/>
        </w:rPr>
        <w:t>Response:</w:t>
      </w:r>
      <w:r w:rsidRPr="00FB00BD">
        <w:rPr>
          <w:sz w:val="24"/>
          <w:szCs w:val="24"/>
        </w:rPr>
        <w:t xml:space="preserve"> Yes.  Any penalty structure should be updated annually to reflect fluctuations in the costs of new resource build in California.</w:t>
      </w:r>
    </w:p>
    <w:p w14:paraId="68DACD41" w14:textId="77777777" w:rsidR="00FB00BD" w:rsidRPr="00FB00BD" w:rsidRDefault="00FB00BD" w:rsidP="00FB00BD">
      <w:pPr>
        <w:pStyle w:val="Heading1"/>
        <w:rPr>
          <w:b/>
          <w:bCs/>
          <w:sz w:val="24"/>
          <w:szCs w:val="24"/>
        </w:rPr>
      </w:pPr>
      <w:r w:rsidRPr="00FB00BD">
        <w:rPr>
          <w:b/>
          <w:bCs/>
          <w:sz w:val="24"/>
          <w:szCs w:val="24"/>
        </w:rPr>
        <w:t>Section 2. Good Faith Effort</w:t>
      </w:r>
    </w:p>
    <w:p w14:paraId="2D01170C" w14:textId="77777777" w:rsidR="00FB00BD" w:rsidRPr="00FB00BD" w:rsidRDefault="00FB00BD" w:rsidP="00FB00BD">
      <w:pPr>
        <w:rPr>
          <w:sz w:val="24"/>
          <w:szCs w:val="24"/>
        </w:rPr>
      </w:pPr>
      <w:r w:rsidRPr="00FB00BD">
        <w:rPr>
          <w:sz w:val="24"/>
          <w:szCs w:val="24"/>
        </w:rPr>
        <w:t>Hydrostor has no comment on this topic in advance of the workshop.</w:t>
      </w:r>
    </w:p>
    <w:p w14:paraId="1DDDF86F" w14:textId="77777777" w:rsidR="00FB00BD" w:rsidRPr="00FB00BD" w:rsidRDefault="00FB00BD" w:rsidP="00FB00BD">
      <w:pPr>
        <w:pStyle w:val="Heading1"/>
        <w:rPr>
          <w:b/>
          <w:bCs/>
          <w:sz w:val="24"/>
          <w:szCs w:val="24"/>
        </w:rPr>
      </w:pPr>
      <w:r w:rsidRPr="00FB00BD">
        <w:rPr>
          <w:b/>
          <w:bCs/>
          <w:sz w:val="24"/>
          <w:szCs w:val="24"/>
        </w:rPr>
        <w:t>Section 3. Definition of “Online”</w:t>
      </w:r>
    </w:p>
    <w:p w14:paraId="67908254" w14:textId="77777777" w:rsidR="00FB00BD" w:rsidRPr="00FB00BD" w:rsidRDefault="00FB00BD" w:rsidP="00FB00BD">
      <w:pPr>
        <w:rPr>
          <w:sz w:val="24"/>
          <w:szCs w:val="24"/>
        </w:rPr>
      </w:pPr>
      <w:r w:rsidRPr="00FB00BD">
        <w:rPr>
          <w:sz w:val="24"/>
          <w:szCs w:val="24"/>
        </w:rPr>
        <w:t>Hydrostor has no comment on this topic in advance of the workshop.</w:t>
      </w:r>
    </w:p>
    <w:p w14:paraId="2DE4BFB6" w14:textId="77777777" w:rsidR="00FB00BD" w:rsidRPr="00FB00BD" w:rsidRDefault="00FB00BD" w:rsidP="00FB00BD">
      <w:pPr>
        <w:pStyle w:val="Heading1"/>
        <w:rPr>
          <w:b/>
          <w:bCs/>
          <w:sz w:val="24"/>
          <w:szCs w:val="24"/>
        </w:rPr>
      </w:pPr>
      <w:r w:rsidRPr="00FB00BD">
        <w:rPr>
          <w:b/>
          <w:bCs/>
          <w:sz w:val="24"/>
          <w:szCs w:val="24"/>
        </w:rPr>
        <w:t>Section 4. Capacity Factor</w:t>
      </w:r>
    </w:p>
    <w:p w14:paraId="3B9B71E0" w14:textId="77777777" w:rsidR="00FB00BD" w:rsidRPr="00FB00BD" w:rsidRDefault="00FB00BD" w:rsidP="00FB00BD">
      <w:pPr>
        <w:rPr>
          <w:sz w:val="24"/>
          <w:szCs w:val="24"/>
        </w:rPr>
      </w:pPr>
      <w:r w:rsidRPr="00FB00BD">
        <w:rPr>
          <w:sz w:val="24"/>
          <w:szCs w:val="24"/>
        </w:rPr>
        <w:t>Hydrostor has no comment on this topic in advance of the workshop.</w:t>
      </w:r>
    </w:p>
    <w:p w14:paraId="556C6029" w14:textId="77777777" w:rsidR="00FB00BD" w:rsidRPr="00FB00BD" w:rsidRDefault="00FB00BD" w:rsidP="00FB00BD">
      <w:pPr>
        <w:pStyle w:val="Heading1"/>
        <w:rPr>
          <w:rFonts w:asciiTheme="minorHAnsi" w:hAnsiTheme="minorHAnsi" w:cstheme="minorBidi"/>
          <w:b/>
          <w:bCs/>
          <w:sz w:val="24"/>
          <w:szCs w:val="24"/>
        </w:rPr>
      </w:pPr>
      <w:r w:rsidRPr="00FB00BD">
        <w:rPr>
          <w:rFonts w:asciiTheme="minorHAnsi" w:hAnsiTheme="minorHAnsi" w:cstheme="minorBidi"/>
          <w:b/>
          <w:bCs/>
          <w:sz w:val="24"/>
          <w:szCs w:val="24"/>
        </w:rPr>
        <w:t>Section 5. Resource Delays</w:t>
      </w:r>
    </w:p>
    <w:p w14:paraId="39B1F12B" w14:textId="77777777" w:rsidR="00FB00BD" w:rsidRPr="00FB00BD" w:rsidRDefault="00FB00BD" w:rsidP="00FB00BD">
      <w:pPr>
        <w:pStyle w:val="Heading2"/>
        <w:rPr>
          <w:sz w:val="24"/>
          <w:szCs w:val="24"/>
        </w:rPr>
      </w:pPr>
      <w:r w:rsidRPr="00FB00BD">
        <w:rPr>
          <w:sz w:val="24"/>
          <w:szCs w:val="24"/>
        </w:rPr>
        <w:t>5.1 If a resource is delayed or contracted with a later online date and paired with a bridge or alternative compliance pathway, should the LSE apply the selected tranche ELCC or the later ELCC associated with the online date?</w:t>
      </w:r>
    </w:p>
    <w:p w14:paraId="7A7DC427" w14:textId="77777777" w:rsidR="00FB00BD" w:rsidRPr="00FB00BD" w:rsidRDefault="00FB00BD" w:rsidP="00FB00BD">
      <w:pPr>
        <w:rPr>
          <w:sz w:val="24"/>
          <w:szCs w:val="24"/>
        </w:rPr>
      </w:pPr>
      <w:r w:rsidRPr="00FB00BD">
        <w:rPr>
          <w:b/>
          <w:bCs/>
          <w:sz w:val="24"/>
          <w:szCs w:val="24"/>
        </w:rPr>
        <w:t>Response:</w:t>
      </w:r>
      <w:r w:rsidRPr="00FB00BD">
        <w:rPr>
          <w:sz w:val="24"/>
          <w:szCs w:val="24"/>
        </w:rPr>
        <w:t xml:space="preserve"> Hydrostor requests that the Commission Staff provide clarity regarding the concern being addressed by this question considering that the Commission eliminated the need for LSEs to use bridge contracts as an alternative compliance mechanism for the procurement required by D.21-06-035, D.23-02-040 and D.26-02-057, assuming contracts are in place and the LSE has met its month-ahead RA obligation for the period of the delay, in D.25-09-007.  In other words, in what remaining circumstances are LSEs faced with having to procure bridge resources where there is a contracted resource online delay?  In many cases of the workshop topics presented in these questions, Hydrostor hopes that the Commission Staff will provide sufficient context for the topics being discussed.</w:t>
      </w:r>
    </w:p>
    <w:p w14:paraId="45DAFB96" w14:textId="77777777" w:rsidR="00FB00BD" w:rsidRPr="00FB00BD" w:rsidRDefault="00FB00BD" w:rsidP="00FB00BD">
      <w:pPr>
        <w:pStyle w:val="Heading2"/>
        <w:rPr>
          <w:sz w:val="24"/>
          <w:szCs w:val="24"/>
        </w:rPr>
      </w:pPr>
      <w:r w:rsidRPr="00FB00BD">
        <w:rPr>
          <w:sz w:val="24"/>
          <w:szCs w:val="24"/>
        </w:rPr>
        <w:t xml:space="preserve">Questions 5.2 through 5.5 </w:t>
      </w:r>
    </w:p>
    <w:p w14:paraId="7CF28739" w14:textId="77777777" w:rsidR="00FB00BD" w:rsidRPr="00FB00BD" w:rsidRDefault="00FB00BD" w:rsidP="00FB00BD">
      <w:pPr>
        <w:rPr>
          <w:sz w:val="24"/>
          <w:szCs w:val="24"/>
        </w:rPr>
      </w:pPr>
      <w:r w:rsidRPr="00FB00BD">
        <w:rPr>
          <w:sz w:val="24"/>
          <w:szCs w:val="24"/>
        </w:rPr>
        <w:t>Hydrostor has no response to these questions in advance of the workshop.</w:t>
      </w:r>
    </w:p>
    <w:p w14:paraId="7F3A9ED3" w14:textId="77777777" w:rsidR="00FB00BD" w:rsidRPr="00FB00BD" w:rsidRDefault="00FB00BD" w:rsidP="00FB00BD">
      <w:pPr>
        <w:pStyle w:val="Heading1"/>
        <w:rPr>
          <w:b/>
          <w:bCs/>
          <w:sz w:val="24"/>
          <w:szCs w:val="24"/>
        </w:rPr>
      </w:pPr>
      <w:r w:rsidRPr="00FB00BD">
        <w:rPr>
          <w:b/>
          <w:bCs/>
          <w:sz w:val="24"/>
          <w:szCs w:val="24"/>
        </w:rPr>
        <w:lastRenderedPageBreak/>
        <w:t>Section 6. Issuance of Citations</w:t>
      </w:r>
    </w:p>
    <w:p w14:paraId="06EBEE15" w14:textId="77777777" w:rsidR="00FB00BD" w:rsidRPr="00FB00BD" w:rsidRDefault="00FB00BD" w:rsidP="00FB00BD">
      <w:pPr>
        <w:rPr>
          <w:sz w:val="24"/>
          <w:szCs w:val="24"/>
        </w:rPr>
      </w:pPr>
      <w:r w:rsidRPr="00FB00BD">
        <w:rPr>
          <w:sz w:val="24"/>
          <w:szCs w:val="24"/>
        </w:rPr>
        <w:t>Hydrostor has no comment on this topic in advance of the workshop.</w:t>
      </w:r>
    </w:p>
    <w:p w14:paraId="24193E9F" w14:textId="77777777" w:rsidR="00FB00BD" w:rsidRPr="00FB00BD" w:rsidRDefault="00FB00BD" w:rsidP="00FB00BD">
      <w:pPr>
        <w:pStyle w:val="Heading1"/>
        <w:rPr>
          <w:b/>
          <w:bCs/>
          <w:sz w:val="24"/>
          <w:szCs w:val="24"/>
        </w:rPr>
      </w:pPr>
      <w:r w:rsidRPr="00FB00BD">
        <w:rPr>
          <w:b/>
          <w:bCs/>
          <w:sz w:val="24"/>
          <w:szCs w:val="24"/>
        </w:rPr>
        <w:t>Section 7. Aligning Integrated Resource Planning (IRP), Resource Adequacy (RA), and Renewables Procurement Section (RPS)</w:t>
      </w:r>
    </w:p>
    <w:p w14:paraId="77842CEE" w14:textId="77777777" w:rsidR="00FB00BD" w:rsidRPr="00FB00BD" w:rsidRDefault="00FB00BD" w:rsidP="00FB00BD">
      <w:pPr>
        <w:pStyle w:val="Heading2"/>
        <w:rPr>
          <w:sz w:val="24"/>
          <w:szCs w:val="24"/>
        </w:rPr>
      </w:pPr>
      <w:r w:rsidRPr="00FB00BD">
        <w:rPr>
          <w:sz w:val="24"/>
          <w:szCs w:val="24"/>
        </w:rPr>
        <w:t>7.1 Given that IRP, RA, and RPS have different goals and mandates, are there opportunities to align the three programs? Please explain.</w:t>
      </w:r>
    </w:p>
    <w:p w14:paraId="24BC9821" w14:textId="77777777" w:rsidR="00FB00BD" w:rsidRPr="00FB00BD" w:rsidRDefault="00FB00BD" w:rsidP="00FB00BD">
      <w:pPr>
        <w:pStyle w:val="Heading2"/>
        <w:rPr>
          <w:sz w:val="24"/>
          <w:szCs w:val="24"/>
        </w:rPr>
      </w:pPr>
      <w:r w:rsidRPr="00FB00BD">
        <w:rPr>
          <w:sz w:val="24"/>
          <w:szCs w:val="24"/>
        </w:rPr>
        <w:t>7.2 What burdens need to be overcome to align IRP, RA, and RPS?</w:t>
      </w:r>
    </w:p>
    <w:p w14:paraId="7224F297" w14:textId="77777777" w:rsidR="00FB00BD" w:rsidRPr="00FB00BD" w:rsidRDefault="00FB00BD" w:rsidP="00FB00BD">
      <w:pPr>
        <w:rPr>
          <w:sz w:val="24"/>
          <w:szCs w:val="24"/>
        </w:rPr>
      </w:pPr>
      <w:r w:rsidRPr="00FB00BD">
        <w:rPr>
          <w:b/>
          <w:bCs/>
          <w:sz w:val="24"/>
          <w:szCs w:val="24"/>
        </w:rPr>
        <w:t>Response:</w:t>
      </w:r>
      <w:r w:rsidRPr="00FB00BD">
        <w:rPr>
          <w:sz w:val="24"/>
          <w:szCs w:val="24"/>
        </w:rPr>
        <w:t xml:space="preserve"> Hydrostor responds to 7.1 and 7.2 jointly.  </w:t>
      </w:r>
    </w:p>
    <w:p w14:paraId="0E7B8B70" w14:textId="77777777" w:rsidR="00FB00BD" w:rsidRPr="00FB00BD" w:rsidRDefault="00FB00BD" w:rsidP="00FB00BD">
      <w:pPr>
        <w:rPr>
          <w:sz w:val="24"/>
          <w:szCs w:val="24"/>
        </w:rPr>
      </w:pPr>
      <w:r w:rsidRPr="00FB00BD">
        <w:rPr>
          <w:sz w:val="24"/>
          <w:szCs w:val="24"/>
        </w:rPr>
        <w:t xml:space="preserve">LSEs procuring long-duration energy storage face a significant disincentive to meeting their IRP long-lead time procurement mandates in RA’s slice-of-day framework.  Due to the charging sufficiency requirements in the RA SOD program, LSEs procuring LDES resources must often procure additional generating capacity </w:t>
      </w:r>
      <w:proofErr w:type="gramStart"/>
      <w:r w:rsidRPr="00FB00BD">
        <w:rPr>
          <w:sz w:val="24"/>
          <w:szCs w:val="24"/>
        </w:rPr>
        <w:t>in order to</w:t>
      </w:r>
      <w:proofErr w:type="gramEnd"/>
      <w:r w:rsidRPr="00FB00BD">
        <w:rPr>
          <w:sz w:val="24"/>
          <w:szCs w:val="24"/>
        </w:rPr>
        <w:t xml:space="preserve"> show that the LDES resource is charged.  </w:t>
      </w:r>
    </w:p>
    <w:p w14:paraId="34A0EF7A" w14:textId="77777777" w:rsidR="00FB00BD" w:rsidRPr="00FB00BD" w:rsidRDefault="00FB00BD" w:rsidP="00FB00BD">
      <w:pPr>
        <w:rPr>
          <w:sz w:val="24"/>
          <w:szCs w:val="24"/>
        </w:rPr>
      </w:pPr>
      <w:r w:rsidRPr="00FB00BD">
        <w:rPr>
          <w:sz w:val="24"/>
          <w:szCs w:val="24"/>
        </w:rPr>
        <w:t xml:space="preserve">From a broad perspective, there should be alignment across the IRP, RA and RPS programs.  Ideally, if an entity is compliant with </w:t>
      </w:r>
      <w:proofErr w:type="gramStart"/>
      <w:r w:rsidRPr="00FB00BD">
        <w:rPr>
          <w:sz w:val="24"/>
          <w:szCs w:val="24"/>
        </w:rPr>
        <w:t>procurement</w:t>
      </w:r>
      <w:proofErr w:type="gramEnd"/>
      <w:r w:rsidRPr="00FB00BD">
        <w:rPr>
          <w:sz w:val="24"/>
          <w:szCs w:val="24"/>
        </w:rPr>
        <w:t xml:space="preserve"> it should inherently meet formal obligations that there are enough resources to provide near-term </w:t>
      </w:r>
      <w:proofErr w:type="gramStart"/>
      <w:r w:rsidRPr="00FB00BD">
        <w:rPr>
          <w:sz w:val="24"/>
          <w:szCs w:val="24"/>
        </w:rPr>
        <w:t>reliability</w:t>
      </w:r>
      <w:proofErr w:type="gramEnd"/>
      <w:r w:rsidRPr="00FB00BD">
        <w:rPr>
          <w:sz w:val="24"/>
          <w:szCs w:val="24"/>
        </w:rPr>
        <w:t xml:space="preserve"> and the resources are meeting greenhouse gas emission reduction targets.  It seems inherently inefficient for the state to direct procurement, based on a set of known and anticipated resources being on the system, to only ask load serving entities to make additional adjustments in other programs – like the IRP program or the RPS program.  Ensuring that the right resources are built </w:t>
      </w:r>
      <w:proofErr w:type="gramStart"/>
      <w:r w:rsidRPr="00FB00BD">
        <w:rPr>
          <w:sz w:val="24"/>
          <w:szCs w:val="24"/>
        </w:rPr>
        <w:t>up front, and</w:t>
      </w:r>
      <w:proofErr w:type="gramEnd"/>
      <w:r w:rsidRPr="00FB00BD">
        <w:rPr>
          <w:sz w:val="24"/>
          <w:szCs w:val="24"/>
        </w:rPr>
        <w:t xml:space="preserve"> having a confidence that those resources – when delivered and coupled with other existing resources on the system - will provide reliable outcomes that align with state decarbonization goals seems like a reasonable approach.  Hydrostor appreciates that achieving an outcome like this will take time and that there will likely always be a need to re-evaluate the effectiveness of the programs in place, inclusive of having broad backstop authority to ensure reliability and compliance with state goals. </w:t>
      </w:r>
    </w:p>
    <w:p w14:paraId="1D0FE01B" w14:textId="77777777" w:rsidR="00FB00BD" w:rsidRPr="00FB00BD" w:rsidRDefault="00FB00BD" w:rsidP="00FB00BD">
      <w:pPr>
        <w:rPr>
          <w:sz w:val="24"/>
          <w:szCs w:val="24"/>
        </w:rPr>
      </w:pPr>
      <w:r w:rsidRPr="00FB00BD">
        <w:rPr>
          <w:sz w:val="24"/>
          <w:szCs w:val="24"/>
        </w:rPr>
        <w:t xml:space="preserve">As a specific example, Hydrostor has advocated to the Commission that round trip efficiency values for storage are already accounted for expressly in the RA program, in the day-ahead and real-time markets – including through direct financial compensation, and they are taken into consideration by load serving entities in their process of evaluating specific resources during selection in the proposal review process.  Previous tables with ELCC values have been developed that include values for storage broken down by duration and technology type, with the key differentiator between technologies being round-trip efficiency.  This would essentially place additional value on storage resources with better round-trip efficiencies and penalize storage resources with lower round-trip efficiencies.  Hydrostor argues that introducing a paradigm where ELCC is </w:t>
      </w:r>
      <w:r w:rsidRPr="00FB00BD">
        <w:rPr>
          <w:sz w:val="24"/>
          <w:szCs w:val="24"/>
        </w:rPr>
        <w:lastRenderedPageBreak/>
        <w:t>broken down for storage by duration and technology introduces unneeded complexity and puts additional penalties – effectively a fourth penalty - on resources with lower round-trip efficiencies.  This is a practical example of how more alignment across the suite of programs could help to improve outcomes by sending clearer and more accurate signals to LSEs.</w:t>
      </w:r>
    </w:p>
    <w:p w14:paraId="05153BE9" w14:textId="77777777" w:rsidR="00FB00BD" w:rsidRPr="00FB00BD" w:rsidRDefault="00FB00BD" w:rsidP="00FB00BD">
      <w:pPr>
        <w:pStyle w:val="Heading2"/>
        <w:rPr>
          <w:sz w:val="24"/>
          <w:szCs w:val="24"/>
        </w:rPr>
      </w:pPr>
      <w:r w:rsidRPr="00FB00BD">
        <w:rPr>
          <w:sz w:val="24"/>
          <w:szCs w:val="24"/>
        </w:rPr>
        <w:t xml:space="preserve">Question 7.3 </w:t>
      </w:r>
    </w:p>
    <w:p w14:paraId="36441E98" w14:textId="35986EDC" w:rsidR="00A63F17" w:rsidRPr="00FB00BD" w:rsidRDefault="00FB00BD" w:rsidP="008D0121">
      <w:pPr>
        <w:rPr>
          <w:sz w:val="24"/>
          <w:szCs w:val="24"/>
        </w:rPr>
      </w:pPr>
      <w:r w:rsidRPr="00FB00BD">
        <w:rPr>
          <w:sz w:val="24"/>
          <w:szCs w:val="24"/>
        </w:rPr>
        <w:t>Hydrostor has no response to this question in advance of the workshop.</w:t>
      </w:r>
    </w:p>
    <w:sectPr w:rsidR="00A63F17" w:rsidRPr="00FB00BD" w:rsidSect="008D0121">
      <w:footerReference w:type="even" r:id="rId10"/>
      <w:footerReference w:type="default" r:id="rId11"/>
      <w:headerReference w:type="first" r:id="rId12"/>
      <w:foot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4055" w14:textId="77777777" w:rsidR="008F46DC" w:rsidRDefault="008F46DC" w:rsidP="00B76D43">
      <w:r>
        <w:separator/>
      </w:r>
    </w:p>
  </w:endnote>
  <w:endnote w:type="continuationSeparator" w:id="0">
    <w:p w14:paraId="7B86B07B" w14:textId="77777777" w:rsidR="008F46DC" w:rsidRDefault="008F46DC" w:rsidP="00B7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4141579"/>
      <w:docPartObj>
        <w:docPartGallery w:val="Page Numbers (Bottom of Page)"/>
        <w:docPartUnique/>
      </w:docPartObj>
    </w:sdtPr>
    <w:sdtContent>
      <w:p w14:paraId="73238F10" w14:textId="77777777" w:rsidR="0004021C" w:rsidRDefault="0004021C" w:rsidP="00B76D43">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345425" w14:textId="77777777" w:rsidR="00E46F7F" w:rsidRDefault="00E46F7F" w:rsidP="00B76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424242"/>
        <w:sz w:val="16"/>
        <w:szCs w:val="16"/>
      </w:rPr>
      <w:id w:val="-650596180"/>
      <w:docPartObj>
        <w:docPartGallery w:val="Page Numbers (Bottom of Page)"/>
        <w:docPartUnique/>
      </w:docPartObj>
    </w:sdtPr>
    <w:sdtContent>
      <w:p w14:paraId="08C741DE" w14:textId="77777777" w:rsidR="00B76D43" w:rsidRPr="00B76D43" w:rsidRDefault="00B76D43" w:rsidP="00B76D43">
        <w:pPr>
          <w:pStyle w:val="Footer"/>
          <w:framePr w:wrap="none" w:vAnchor="text" w:hAnchor="margin" w:xAlign="right" w:y="1"/>
          <w:rPr>
            <w:rStyle w:val="PageNumber"/>
            <w:color w:val="424242"/>
            <w:sz w:val="16"/>
            <w:szCs w:val="16"/>
          </w:rPr>
        </w:pPr>
        <w:r w:rsidRPr="00B76D43">
          <w:rPr>
            <w:rStyle w:val="PageNumber"/>
            <w:color w:val="424242"/>
            <w:sz w:val="16"/>
            <w:szCs w:val="16"/>
          </w:rPr>
          <w:fldChar w:fldCharType="begin"/>
        </w:r>
        <w:r w:rsidRPr="00B76D43">
          <w:rPr>
            <w:rStyle w:val="PageNumber"/>
            <w:color w:val="424242"/>
            <w:sz w:val="16"/>
            <w:szCs w:val="16"/>
          </w:rPr>
          <w:instrText xml:space="preserve"> PAGE </w:instrText>
        </w:r>
        <w:r w:rsidRPr="00B76D43">
          <w:rPr>
            <w:rStyle w:val="PageNumber"/>
            <w:color w:val="424242"/>
            <w:sz w:val="16"/>
            <w:szCs w:val="16"/>
          </w:rPr>
          <w:fldChar w:fldCharType="separate"/>
        </w:r>
        <w:r>
          <w:rPr>
            <w:rStyle w:val="PageNumber"/>
            <w:color w:val="424242"/>
            <w:sz w:val="16"/>
            <w:szCs w:val="16"/>
          </w:rPr>
          <w:t>1</w:t>
        </w:r>
        <w:r w:rsidRPr="00B76D43">
          <w:rPr>
            <w:rStyle w:val="PageNumber"/>
            <w:color w:val="424242"/>
            <w:sz w:val="16"/>
            <w:szCs w:val="16"/>
          </w:rPr>
          <w:fldChar w:fldCharType="end"/>
        </w:r>
      </w:p>
    </w:sdtContent>
  </w:sdt>
  <w:p w14:paraId="5F368F47" w14:textId="77777777" w:rsidR="00E46F7F" w:rsidRPr="00B76D43" w:rsidRDefault="008D0121" w:rsidP="008D0121">
    <w:pPr>
      <w:pStyle w:val="Footer"/>
      <w:tabs>
        <w:tab w:val="left" w:pos="280"/>
      </w:tabs>
      <w:ind w:right="360"/>
      <w:rPr>
        <w:color w:val="424242"/>
        <w:sz w:val="16"/>
        <w:szCs w:val="16"/>
      </w:rPr>
    </w:pPr>
    <w:r>
      <w:rPr>
        <w:noProof/>
      </w:rPr>
      <w:drawing>
        <wp:anchor distT="0" distB="0" distL="114300" distR="114300" simplePos="0" relativeHeight="251674624" behindDoc="0" locked="0" layoutInCell="1" allowOverlap="1" wp14:anchorId="1BBF5F9A" wp14:editId="2E80F6CD">
          <wp:simplePos x="0" y="0"/>
          <wp:positionH relativeFrom="column">
            <wp:posOffset>18594</wp:posOffset>
          </wp:positionH>
          <wp:positionV relativeFrom="paragraph">
            <wp:posOffset>-27940</wp:posOffset>
          </wp:positionV>
          <wp:extent cx="883134" cy="181337"/>
          <wp:effectExtent l="0" t="0" r="0" b="0"/>
          <wp:wrapNone/>
          <wp:docPr id="1845065553" name="Picture 184506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65553" name="Picture 1845065553"/>
                  <pic:cNvPicPr/>
                </pic:nvPicPr>
                <pic:blipFill>
                  <a:blip r:embed="rId1">
                    <a:extLst>
                      <a:ext uri="{96DAC541-7B7A-43D3-8B79-37D633B846F1}">
                        <asvg:svgBlip xmlns:asvg="http://schemas.microsoft.com/office/drawing/2016/SVG/main" r:embed="rId2"/>
                      </a:ext>
                    </a:extLst>
                  </a:blip>
                  <a:stretch>
                    <a:fillRect/>
                  </a:stretch>
                </pic:blipFill>
                <pic:spPr>
                  <a:xfrm>
                    <a:off x="0" y="0"/>
                    <a:ext cx="883134" cy="181337"/>
                  </a:xfrm>
                  <a:prstGeom prst="rect">
                    <a:avLst/>
                  </a:prstGeom>
                </pic:spPr>
              </pic:pic>
            </a:graphicData>
          </a:graphic>
          <wp14:sizeRelH relativeFrom="page">
            <wp14:pctWidth>0</wp14:pctWidth>
          </wp14:sizeRelH>
          <wp14:sizeRelV relativeFrom="page">
            <wp14:pctHeight>0</wp14:pctHeight>
          </wp14:sizeRelV>
        </wp:anchor>
      </w:drawing>
    </w:r>
    <w:r w:rsidR="00B76D43" w:rsidRPr="00B76D43">
      <w:rPr>
        <w:noProof/>
        <w:color w:val="424242"/>
        <w:sz w:val="16"/>
        <w:szCs w:val="16"/>
      </w:rPr>
      <mc:AlternateContent>
        <mc:Choice Requires="wps">
          <w:drawing>
            <wp:anchor distT="0" distB="0" distL="114300" distR="114300" simplePos="0" relativeHeight="251672576" behindDoc="0" locked="0" layoutInCell="1" allowOverlap="1" wp14:anchorId="3BF94CAA" wp14:editId="65FEDCDD">
              <wp:simplePos x="0" y="0"/>
              <wp:positionH relativeFrom="column">
                <wp:posOffset>8268335</wp:posOffset>
              </wp:positionH>
              <wp:positionV relativeFrom="paragraph">
                <wp:posOffset>-1912620</wp:posOffset>
              </wp:positionV>
              <wp:extent cx="1884045" cy="521970"/>
              <wp:effectExtent l="0" t="0" r="0" b="0"/>
              <wp:wrapNone/>
              <wp:docPr id="1780752481" name="Text Box 1780752481"/>
              <wp:cNvGraphicFramePr/>
              <a:graphic xmlns:a="http://schemas.openxmlformats.org/drawingml/2006/main">
                <a:graphicData uri="http://schemas.microsoft.com/office/word/2010/wordprocessingShape">
                  <wps:wsp>
                    <wps:cNvSpPr txBox="1"/>
                    <wps:spPr>
                      <a:xfrm>
                        <a:off x="0" y="0"/>
                        <a:ext cx="1884045" cy="52197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77209B0" w14:textId="77777777" w:rsidR="00B76D43" w:rsidRPr="00E46F7F" w:rsidRDefault="00B76D43" w:rsidP="00B76D43">
                          <w:r w:rsidRPr="00E46F7F">
                            <w:t>+1 4</w:t>
                          </w:r>
                          <w:r>
                            <w:t>16</w:t>
                          </w:r>
                          <w:r w:rsidRPr="00E46F7F">
                            <w:t>-548-7880</w:t>
                          </w:r>
                        </w:p>
                        <w:p w14:paraId="5CEA68F9" w14:textId="77777777" w:rsidR="00B76D43" w:rsidRPr="00E46F7F" w:rsidRDefault="00B76D43" w:rsidP="00B76D43">
                          <w:r>
                            <w:t>333</w:t>
                          </w:r>
                          <w:r w:rsidRPr="00E46F7F">
                            <w:t xml:space="preserve"> Bay Street, Suite</w:t>
                          </w:r>
                          <w:r>
                            <w:t xml:space="preserve"> 52</w:t>
                          </w:r>
                          <w:r w:rsidRPr="00E46F7F">
                            <w:t>0,</w:t>
                          </w:r>
                        </w:p>
                        <w:p w14:paraId="27C9EF9A" w14:textId="77777777" w:rsidR="00B76D43" w:rsidRPr="00E46F7F" w:rsidRDefault="00B76D43" w:rsidP="00B76D43">
                          <w:r w:rsidRPr="00E46F7F">
                            <w:t>Toronto, ON, M5H 2</w:t>
                          </w:r>
                          <w:r>
                            <w:t>R2</w:t>
                          </w:r>
                          <w:r w:rsidRPr="00E46F7F">
                            <w:t>,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94CAA" id="_x0000_t202" coordsize="21600,21600" o:spt="202" path="m,l,21600r21600,l21600,xe">
              <v:stroke joinstyle="miter"/>
              <v:path gradientshapeok="t" o:connecttype="rect"/>
            </v:shapetype>
            <v:shape id="Text Box 1780752481" o:spid="_x0000_s1026" type="#_x0000_t202" style="position:absolute;margin-left:651.05pt;margin-top:-150.6pt;width:148.35pt;height:4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" fillcolor="white [3212]" stroked="f">
              <v:textbox inset="0,0,0,0">
                <w:txbxContent>
                  <w:p w14:paraId="277209B0" w14:textId="77777777" w:rsidR="00B76D43" w:rsidRPr="00E46F7F" w:rsidRDefault="00B76D43" w:rsidP="00B76D43">
                    <w:r w:rsidRPr="00E46F7F">
                      <w:t>+1 4</w:t>
                    </w:r>
                    <w:r>
                      <w:t>16</w:t>
                    </w:r>
                    <w:r w:rsidRPr="00E46F7F">
                      <w:t>-548-7880</w:t>
                    </w:r>
                  </w:p>
                  <w:p w14:paraId="5CEA68F9" w14:textId="77777777" w:rsidR="00B76D43" w:rsidRPr="00E46F7F" w:rsidRDefault="00B76D43" w:rsidP="00B76D43">
                    <w:r>
                      <w:t>333</w:t>
                    </w:r>
                    <w:r w:rsidRPr="00E46F7F">
                      <w:t xml:space="preserve"> Bay Street, Suite</w:t>
                    </w:r>
                    <w:r>
                      <w:t xml:space="preserve"> 52</w:t>
                    </w:r>
                    <w:r w:rsidRPr="00E46F7F">
                      <w:t>0,</w:t>
                    </w:r>
                  </w:p>
                  <w:p w14:paraId="27C9EF9A" w14:textId="77777777" w:rsidR="00B76D43" w:rsidRPr="00E46F7F" w:rsidRDefault="00B76D43" w:rsidP="00B76D43">
                    <w:r w:rsidRPr="00E46F7F">
                      <w:t>Toronto, ON, M5H 2</w:t>
                    </w:r>
                    <w:r>
                      <w:t>R2</w:t>
                    </w:r>
                    <w:r w:rsidRPr="00E46F7F">
                      <w:t>, Canada</w:t>
                    </w:r>
                  </w:p>
                </w:txbxContent>
              </v:textbox>
            </v:shape>
          </w:pict>
        </mc:Fallback>
      </mc:AlternateContent>
    </w:r>
    <w:r w:rsidR="00B76D43" w:rsidRPr="00B76D43">
      <w:rPr>
        <w:color w:val="424242"/>
        <w:sz w:val="16"/>
        <w:szCs w:val="16"/>
      </w:rPr>
      <w:tab/>
    </w:r>
    <w:r>
      <w:rPr>
        <w:color w:val="424242"/>
        <w:sz w:val="16"/>
        <w:szCs w:val="16"/>
      </w:rPr>
      <w:tab/>
    </w:r>
    <w:r w:rsidR="00B76D43" w:rsidRPr="00B76D43">
      <w:rPr>
        <w:color w:val="424242"/>
        <w:sz w:val="16"/>
        <w:szCs w:val="16"/>
      </w:rPr>
      <w:t>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424242"/>
        <w:sz w:val="16"/>
        <w:szCs w:val="16"/>
      </w:rPr>
      <w:id w:val="-981618384"/>
      <w:docPartObj>
        <w:docPartGallery w:val="Page Numbers (Bottom of Page)"/>
        <w:docPartUnique/>
      </w:docPartObj>
    </w:sdtPr>
    <w:sdtContent>
      <w:p w14:paraId="4A9F0C53" w14:textId="77777777" w:rsidR="00B76D43" w:rsidRPr="00B76D43" w:rsidRDefault="00B76D43" w:rsidP="005424F6">
        <w:pPr>
          <w:pStyle w:val="Footer"/>
          <w:framePr w:wrap="none" w:vAnchor="text" w:hAnchor="margin" w:xAlign="right" w:y="1"/>
          <w:rPr>
            <w:rStyle w:val="PageNumber"/>
            <w:color w:val="424242"/>
            <w:sz w:val="16"/>
            <w:szCs w:val="16"/>
          </w:rPr>
        </w:pPr>
        <w:r w:rsidRPr="00B76D43">
          <w:rPr>
            <w:rStyle w:val="PageNumber"/>
            <w:color w:val="424242"/>
            <w:sz w:val="16"/>
            <w:szCs w:val="16"/>
          </w:rPr>
          <w:fldChar w:fldCharType="begin"/>
        </w:r>
        <w:r w:rsidRPr="00B76D43">
          <w:rPr>
            <w:rStyle w:val="PageNumber"/>
            <w:color w:val="424242"/>
            <w:sz w:val="16"/>
            <w:szCs w:val="16"/>
          </w:rPr>
          <w:instrText xml:space="preserve"> PAGE </w:instrText>
        </w:r>
        <w:r w:rsidRPr="00B76D43">
          <w:rPr>
            <w:rStyle w:val="PageNumber"/>
            <w:color w:val="424242"/>
            <w:sz w:val="16"/>
            <w:szCs w:val="16"/>
          </w:rPr>
          <w:fldChar w:fldCharType="separate"/>
        </w:r>
        <w:r w:rsidRPr="00B76D43">
          <w:rPr>
            <w:rStyle w:val="PageNumber"/>
            <w:noProof/>
            <w:color w:val="424242"/>
            <w:sz w:val="16"/>
            <w:szCs w:val="16"/>
          </w:rPr>
          <w:t>1</w:t>
        </w:r>
        <w:r w:rsidRPr="00B76D43">
          <w:rPr>
            <w:rStyle w:val="PageNumber"/>
            <w:color w:val="424242"/>
            <w:sz w:val="16"/>
            <w:szCs w:val="16"/>
          </w:rPr>
          <w:fldChar w:fldCharType="end"/>
        </w:r>
      </w:p>
    </w:sdtContent>
  </w:sdt>
  <w:p w14:paraId="52A8A486" w14:textId="77777777" w:rsidR="00E46F7F" w:rsidRPr="00B76D43" w:rsidRDefault="00E46F7F" w:rsidP="00B76D43">
    <w:pPr>
      <w:pStyle w:val="Footer"/>
      <w:ind w:right="360"/>
      <w:rPr>
        <w:color w:val="424242"/>
        <w:sz w:val="16"/>
        <w:szCs w:val="16"/>
      </w:rPr>
    </w:pPr>
    <w:r w:rsidRPr="00B76D43">
      <w:rPr>
        <w:noProof/>
        <w:color w:val="424242"/>
        <w:sz w:val="16"/>
        <w:szCs w:val="16"/>
      </w:rPr>
      <mc:AlternateContent>
        <mc:Choice Requires="wps">
          <w:drawing>
            <wp:anchor distT="0" distB="0" distL="114300" distR="114300" simplePos="0" relativeHeight="251668480" behindDoc="0" locked="0" layoutInCell="1" allowOverlap="1" wp14:anchorId="6A9C048C" wp14:editId="7E67652B">
              <wp:simplePos x="0" y="0"/>
              <wp:positionH relativeFrom="column">
                <wp:posOffset>8268335</wp:posOffset>
              </wp:positionH>
              <wp:positionV relativeFrom="paragraph">
                <wp:posOffset>-1912620</wp:posOffset>
              </wp:positionV>
              <wp:extent cx="1884045" cy="521970"/>
              <wp:effectExtent l="0" t="0" r="0" b="0"/>
              <wp:wrapNone/>
              <wp:docPr id="1979133452" name="Text Box 1979133452"/>
              <wp:cNvGraphicFramePr/>
              <a:graphic xmlns:a="http://schemas.openxmlformats.org/drawingml/2006/main">
                <a:graphicData uri="http://schemas.microsoft.com/office/word/2010/wordprocessingShape">
                  <wps:wsp>
                    <wps:cNvSpPr txBox="1"/>
                    <wps:spPr>
                      <a:xfrm>
                        <a:off x="0" y="0"/>
                        <a:ext cx="1884045" cy="52197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D916975" w14:textId="77777777" w:rsidR="00E46F7F" w:rsidRPr="00E46F7F" w:rsidRDefault="00E46F7F" w:rsidP="00B76D43">
                          <w:r w:rsidRPr="00E46F7F">
                            <w:t>+1 4</w:t>
                          </w:r>
                          <w:r>
                            <w:t>16</w:t>
                          </w:r>
                          <w:r w:rsidRPr="00E46F7F">
                            <w:t>-548-7880</w:t>
                          </w:r>
                        </w:p>
                        <w:p w14:paraId="4E87ACBB" w14:textId="77777777" w:rsidR="00E46F7F" w:rsidRPr="00E46F7F" w:rsidRDefault="00E46F7F" w:rsidP="00B76D43">
                          <w:r>
                            <w:t>333</w:t>
                          </w:r>
                          <w:r w:rsidRPr="00E46F7F">
                            <w:t xml:space="preserve"> Bay Street, Suite</w:t>
                          </w:r>
                          <w:r>
                            <w:t xml:space="preserve"> 52</w:t>
                          </w:r>
                          <w:r w:rsidRPr="00E46F7F">
                            <w:t>0,</w:t>
                          </w:r>
                        </w:p>
                        <w:p w14:paraId="45FA6C42" w14:textId="77777777" w:rsidR="00E46F7F" w:rsidRPr="00E46F7F" w:rsidRDefault="00E46F7F" w:rsidP="00B76D43">
                          <w:r w:rsidRPr="00E46F7F">
                            <w:t>Toronto, ON, M5H 2</w:t>
                          </w:r>
                          <w:r>
                            <w:t>R2</w:t>
                          </w:r>
                          <w:r w:rsidRPr="00E46F7F">
                            <w:t>,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C048C" id="_x0000_t202" coordsize="21600,21600" o:spt="202" path="m,l,21600r21600,l21600,xe">
              <v:stroke joinstyle="miter"/>
              <v:path gradientshapeok="t" o:connecttype="rect"/>
            </v:shapetype>
            <v:shape id="Text Box 1979133452" o:spid="_x0000_s1028" type="#_x0000_t202" style="position:absolute;margin-left:651.05pt;margin-top:-150.6pt;width:148.35pt;height:4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" fillcolor="white [3212]" stroked="f">
              <v:textbox inset="0,0,0,0">
                <w:txbxContent>
                  <w:p w14:paraId="7D916975" w14:textId="77777777" w:rsidR="00E46F7F" w:rsidRPr="00E46F7F" w:rsidRDefault="00E46F7F" w:rsidP="00B76D43">
                    <w:r w:rsidRPr="00E46F7F">
                      <w:t>+1 4</w:t>
                    </w:r>
                    <w:r>
                      <w:t>16</w:t>
                    </w:r>
                    <w:r w:rsidRPr="00E46F7F">
                      <w:t>-548-7880</w:t>
                    </w:r>
                  </w:p>
                  <w:p w14:paraId="4E87ACBB" w14:textId="77777777" w:rsidR="00E46F7F" w:rsidRPr="00E46F7F" w:rsidRDefault="00E46F7F" w:rsidP="00B76D43">
                    <w:r>
                      <w:t>333</w:t>
                    </w:r>
                    <w:r w:rsidRPr="00E46F7F">
                      <w:t xml:space="preserve"> Bay Street, Suite</w:t>
                    </w:r>
                    <w:r>
                      <w:t xml:space="preserve"> 52</w:t>
                    </w:r>
                    <w:r w:rsidRPr="00E46F7F">
                      <w:t>0,</w:t>
                    </w:r>
                  </w:p>
                  <w:p w14:paraId="45FA6C42" w14:textId="77777777" w:rsidR="00E46F7F" w:rsidRPr="00E46F7F" w:rsidRDefault="00E46F7F" w:rsidP="00B76D43">
                    <w:r w:rsidRPr="00E46F7F">
                      <w:t>Toronto, ON, M5H 2</w:t>
                    </w:r>
                    <w:r>
                      <w:t>R2</w:t>
                    </w:r>
                    <w:r w:rsidRPr="00E46F7F">
                      <w:t>, Canada</w:t>
                    </w:r>
                  </w:p>
                </w:txbxContent>
              </v:textbox>
            </v:shape>
          </w:pict>
        </mc:Fallback>
      </mc:AlternateContent>
    </w:r>
    <w:r w:rsidR="00B76D43" w:rsidRPr="00B76D43">
      <w:rPr>
        <w:color w:val="424242"/>
        <w:sz w:val="16"/>
        <w:szCs w:val="16"/>
      </w:rPr>
      <w:t>Hydrostor.ca</w:t>
    </w:r>
    <w:r w:rsidR="00B76D43" w:rsidRPr="00B76D43">
      <w:rPr>
        <w:color w:val="424242"/>
        <w:sz w:val="16"/>
        <w:szCs w:val="16"/>
      </w:rPr>
      <w:tab/>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81B8" w14:textId="77777777" w:rsidR="008F46DC" w:rsidRDefault="008F46DC" w:rsidP="00B76D43">
      <w:r>
        <w:separator/>
      </w:r>
    </w:p>
  </w:footnote>
  <w:footnote w:type="continuationSeparator" w:id="0">
    <w:p w14:paraId="3B63A702" w14:textId="77777777" w:rsidR="008F46DC" w:rsidRDefault="008F46DC" w:rsidP="00B76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FF87" w14:textId="77777777" w:rsidR="008D0121" w:rsidRDefault="00A445DC" w:rsidP="00B76D43">
    <w:pPr>
      <w:pStyle w:val="Header"/>
    </w:pPr>
    <w:r>
      <w:rPr>
        <w:noProof/>
      </w:rPr>
      <w:drawing>
        <wp:anchor distT="0" distB="0" distL="114300" distR="114300" simplePos="0" relativeHeight="251677696" behindDoc="1" locked="0" layoutInCell="1" allowOverlap="1" wp14:anchorId="5B7A4E4B" wp14:editId="7E1A6CC8">
          <wp:simplePos x="0" y="0"/>
          <wp:positionH relativeFrom="column">
            <wp:posOffset>25758</wp:posOffset>
          </wp:positionH>
          <wp:positionV relativeFrom="paragraph">
            <wp:posOffset>207243</wp:posOffset>
          </wp:positionV>
          <wp:extent cx="1397000" cy="286385"/>
          <wp:effectExtent l="0" t="0" r="0" b="5715"/>
          <wp:wrapTight wrapText="bothSides">
            <wp:wrapPolygon edited="0">
              <wp:start x="982" y="0"/>
              <wp:lineTo x="0" y="4789"/>
              <wp:lineTo x="0" y="16284"/>
              <wp:lineTo x="785" y="21073"/>
              <wp:lineTo x="982" y="21073"/>
              <wp:lineTo x="3338" y="21073"/>
              <wp:lineTo x="3535" y="21073"/>
              <wp:lineTo x="4516" y="15326"/>
              <wp:lineTo x="21404" y="15326"/>
              <wp:lineTo x="21404" y="5747"/>
              <wp:lineTo x="3142" y="0"/>
              <wp:lineTo x="982" y="0"/>
            </wp:wrapPolygon>
          </wp:wrapTight>
          <wp:docPr id="1876700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00430" name="Picture 1"/>
                  <pic:cNvPicPr/>
                </pic:nvPicPr>
                <pic:blipFill>
                  <a:blip r:embed="rId1">
                    <a:extLst>
                      <a:ext uri="{96DAC541-7B7A-43D3-8B79-37D633B846F1}">
                        <asvg:svgBlip xmlns:asvg="http://schemas.microsoft.com/office/drawing/2016/SVG/main" r:embed="rId2"/>
                      </a:ext>
                    </a:extLst>
                  </a:blip>
                  <a:stretch>
                    <a:fillRect/>
                  </a:stretch>
                </pic:blipFill>
                <pic:spPr>
                  <a:xfrm>
                    <a:off x="0" y="0"/>
                    <a:ext cx="1397000" cy="286385"/>
                  </a:xfrm>
                  <a:prstGeom prst="rect">
                    <a:avLst/>
                  </a:prstGeom>
                </pic:spPr>
              </pic:pic>
            </a:graphicData>
          </a:graphic>
          <wp14:sizeRelH relativeFrom="margin">
            <wp14:pctWidth>0</wp14:pctWidth>
          </wp14:sizeRelH>
          <wp14:sizeRelV relativeFrom="margin">
            <wp14:pctHeight>0</wp14:pctHeight>
          </wp14:sizeRelV>
        </wp:anchor>
      </w:drawing>
    </w:r>
    <w:r w:rsidR="006F794B">
      <w:rPr>
        <w:noProof/>
        <w:shd w:val="clear" w:color="auto" w:fill="auto"/>
        <w14:ligatures w14:val="standardContextual"/>
      </w:rPr>
      <mc:AlternateContent>
        <mc:Choice Requires="wps">
          <w:drawing>
            <wp:anchor distT="0" distB="0" distL="114300" distR="114300" simplePos="0" relativeHeight="251675648" behindDoc="0" locked="0" layoutInCell="1" allowOverlap="1" wp14:anchorId="6DEC1EF8" wp14:editId="5944E82D">
              <wp:simplePos x="0" y="0"/>
              <wp:positionH relativeFrom="column">
                <wp:posOffset>4457065</wp:posOffset>
              </wp:positionH>
              <wp:positionV relativeFrom="paragraph">
                <wp:posOffset>179235</wp:posOffset>
              </wp:positionV>
              <wp:extent cx="0" cy="349883"/>
              <wp:effectExtent l="0" t="0" r="12700" b="6350"/>
              <wp:wrapNone/>
              <wp:docPr id="1426050438" name="Straight Connector 1"/>
              <wp:cNvGraphicFramePr/>
              <a:graphic xmlns:a="http://schemas.openxmlformats.org/drawingml/2006/main">
                <a:graphicData uri="http://schemas.microsoft.com/office/word/2010/wordprocessingShape">
                  <wps:wsp>
                    <wps:cNvCnPr/>
                    <wps:spPr>
                      <a:xfrm>
                        <a:off x="0" y="0"/>
                        <a:ext cx="0" cy="349883"/>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52F56A" id="Straight Connector 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0.95pt,14.1pt" to="350.9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" strokecolor="#a5a5a5 [2092]" strokeweight="1pt">
              <v:stroke joinstyle="miter"/>
            </v:line>
          </w:pict>
        </mc:Fallback>
      </mc:AlternateContent>
    </w:r>
    <w:r w:rsidR="008D0121">
      <w:rPr>
        <w:noProof/>
      </w:rPr>
      <mc:AlternateContent>
        <mc:Choice Requires="wps">
          <w:drawing>
            <wp:anchor distT="0" distB="0" distL="114300" distR="114300" simplePos="0" relativeHeight="251663360" behindDoc="0" locked="0" layoutInCell="1" allowOverlap="1" wp14:anchorId="6FBB34ED" wp14:editId="7BEA67C6">
              <wp:simplePos x="0" y="0"/>
              <wp:positionH relativeFrom="column">
                <wp:posOffset>4533900</wp:posOffset>
              </wp:positionH>
              <wp:positionV relativeFrom="paragraph">
                <wp:posOffset>166370</wp:posOffset>
              </wp:positionV>
              <wp:extent cx="1884045" cy="445770"/>
              <wp:effectExtent l="0" t="0" r="8255" b="11430"/>
              <wp:wrapNone/>
              <wp:docPr id="6" name="Text Box 6"/>
              <wp:cNvGraphicFramePr/>
              <a:graphic xmlns:a="http://schemas.openxmlformats.org/drawingml/2006/main">
                <a:graphicData uri="http://schemas.microsoft.com/office/word/2010/wordprocessingShape">
                  <wps:wsp>
                    <wps:cNvSpPr txBox="1"/>
                    <wps:spPr>
                      <a:xfrm>
                        <a:off x="0" y="0"/>
                        <a:ext cx="1884045" cy="445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C13027B" w14:textId="77777777" w:rsidR="00E46F7F" w:rsidRPr="00E23E09" w:rsidRDefault="00E46F7F" w:rsidP="00B76D43">
                          <w:pPr>
                            <w:rPr>
                              <w:color w:val="808080" w:themeColor="background1" w:themeShade="80"/>
                              <w:sz w:val="16"/>
                              <w:szCs w:val="16"/>
                            </w:rPr>
                          </w:pPr>
                          <w:r w:rsidRPr="00E23E09">
                            <w:rPr>
                              <w:color w:val="808080" w:themeColor="background1" w:themeShade="80"/>
                              <w:sz w:val="16"/>
                              <w:szCs w:val="16"/>
                            </w:rPr>
                            <w:t>+1 416-548-7880</w:t>
                          </w:r>
                          <w:r w:rsidR="00B76D43" w:rsidRPr="00E23E09">
                            <w:rPr>
                              <w:color w:val="808080" w:themeColor="background1" w:themeShade="80"/>
                              <w:sz w:val="16"/>
                              <w:szCs w:val="16"/>
                            </w:rPr>
                            <w:br/>
                          </w:r>
                          <w:r w:rsidR="006D5B0D" w:rsidRPr="006D5B0D">
                            <w:rPr>
                              <w:color w:val="808080" w:themeColor="background1" w:themeShade="80"/>
                              <w:sz w:val="16"/>
                              <w:szCs w:val="16"/>
                            </w:rPr>
                            <w:t>1125 17th Street, Suite 700</w:t>
                          </w:r>
                          <w:r w:rsidR="006D5B0D" w:rsidRPr="006D5B0D">
                            <w:rPr>
                              <w:color w:val="808080" w:themeColor="background1" w:themeShade="80"/>
                              <w:sz w:val="16"/>
                              <w:szCs w:val="16"/>
                            </w:rPr>
                            <w:br/>
                            <w:t>Denver, Colorado 80202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B34ED" id="_x0000_t202" coordsize="21600,21600" o:spt="202" path="m,l,21600r21600,l21600,xe">
              <v:stroke joinstyle="miter"/>
              <v:path gradientshapeok="t" o:connecttype="rect"/>
            </v:shapetype>
            <v:shape id="Text Box 6" o:spid="_x0000_s1027" type="#_x0000_t202" style="position:absolute;margin-left:357pt;margin-top:13.1pt;width:148.35pt;height: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" filled="f" stroked="f">
              <v:textbox inset="0,0,0,0">
                <w:txbxContent>
                  <w:p w14:paraId="6C13027B" w14:textId="77777777" w:rsidR="00E46F7F" w:rsidRPr="00E23E09" w:rsidRDefault="00E46F7F" w:rsidP="00B76D43">
                    <w:pPr>
                      <w:rPr>
                        <w:color w:val="808080" w:themeColor="background1" w:themeShade="80"/>
                        <w:sz w:val="16"/>
                        <w:szCs w:val="16"/>
                      </w:rPr>
                    </w:pPr>
                    <w:r w:rsidRPr="00E23E09">
                      <w:rPr>
                        <w:color w:val="808080" w:themeColor="background1" w:themeShade="80"/>
                        <w:sz w:val="16"/>
                        <w:szCs w:val="16"/>
                      </w:rPr>
                      <w:t>+1 416-548-7880</w:t>
                    </w:r>
                    <w:r w:rsidR="00B76D43" w:rsidRPr="00E23E09">
                      <w:rPr>
                        <w:color w:val="808080" w:themeColor="background1" w:themeShade="80"/>
                        <w:sz w:val="16"/>
                        <w:szCs w:val="16"/>
                      </w:rPr>
                      <w:br/>
                    </w:r>
                    <w:r w:rsidR="006D5B0D" w:rsidRPr="006D5B0D">
                      <w:rPr>
                        <w:color w:val="808080" w:themeColor="background1" w:themeShade="80"/>
                        <w:sz w:val="16"/>
                        <w:szCs w:val="16"/>
                      </w:rPr>
                      <w:t>1125 17th Street, Suite 700</w:t>
                    </w:r>
                    <w:r w:rsidR="006D5B0D" w:rsidRPr="006D5B0D">
                      <w:rPr>
                        <w:color w:val="808080" w:themeColor="background1" w:themeShade="80"/>
                        <w:sz w:val="16"/>
                        <w:szCs w:val="16"/>
                      </w:rPr>
                      <w:br/>
                      <w:t>Denver, Colorado 80202</w:t>
                    </w:r>
                  </w:p>
                </w:txbxContent>
              </v:textbox>
            </v:shape>
          </w:pict>
        </mc:Fallback>
      </mc:AlternateContent>
    </w:r>
  </w:p>
  <w:p w14:paraId="3EDEB569" w14:textId="77777777" w:rsidR="008D0121" w:rsidRDefault="008D0121" w:rsidP="00B76D43">
    <w:pPr>
      <w:pStyle w:val="Header"/>
    </w:pPr>
  </w:p>
  <w:p w14:paraId="00E24F0C" w14:textId="77777777" w:rsidR="00E46F7F" w:rsidRDefault="00E46F7F" w:rsidP="00B76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75C347"/>
    <w:multiLevelType w:val="hybridMultilevel"/>
    <w:tmpl w:val="7671EF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CA0167"/>
    <w:multiLevelType w:val="hybridMultilevel"/>
    <w:tmpl w:val="52A05900"/>
    <w:lvl w:ilvl="0" w:tplc="68A051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37BF8"/>
    <w:multiLevelType w:val="hybridMultilevel"/>
    <w:tmpl w:val="7BBEC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164B95"/>
    <w:multiLevelType w:val="multilevel"/>
    <w:tmpl w:val="BB8A1BDC"/>
    <w:lvl w:ilvl="0">
      <w:start w:val="1"/>
      <w:numFmt w:val="decimal"/>
      <w:lvlText w:val="%1"/>
      <w:lvlJc w:val="left"/>
      <w:pPr>
        <w:ind w:left="574"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0EF17C8"/>
    <w:multiLevelType w:val="hybridMultilevel"/>
    <w:tmpl w:val="F0EAD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7AA5CEF"/>
    <w:multiLevelType w:val="hybridMultilevel"/>
    <w:tmpl w:val="1954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40DEE"/>
    <w:multiLevelType w:val="hybridMultilevel"/>
    <w:tmpl w:val="34CE13F2"/>
    <w:lvl w:ilvl="0" w:tplc="538C8BB0">
      <w:start w:val="1"/>
      <w:numFmt w:val="bullet"/>
      <w:pStyle w:val="BulletList"/>
      <w:lvlText w:val=""/>
      <w:lvlJc w:val="left"/>
      <w:pPr>
        <w:ind w:left="720" w:hanging="360"/>
      </w:pPr>
      <w:rPr>
        <w:rFonts w:ascii="Symbol" w:hAnsi="Symbol" w:hint="default"/>
      </w:rPr>
    </w:lvl>
    <w:lvl w:ilvl="1" w:tplc="9B8A6584">
      <w:start w:val="1"/>
      <w:numFmt w:val="bullet"/>
      <w:pStyle w:val="SubBulletLis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5B08D0"/>
    <w:multiLevelType w:val="hybridMultilevel"/>
    <w:tmpl w:val="7A5EDA24"/>
    <w:lvl w:ilvl="0" w:tplc="68A051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82673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531271">
    <w:abstractNumId w:val="0"/>
  </w:num>
  <w:num w:numId="3" w16cid:durableId="2142261305">
    <w:abstractNumId w:val="2"/>
  </w:num>
  <w:num w:numId="4" w16cid:durableId="1759978238">
    <w:abstractNumId w:val="1"/>
  </w:num>
  <w:num w:numId="5" w16cid:durableId="491797881">
    <w:abstractNumId w:val="7"/>
  </w:num>
  <w:num w:numId="6" w16cid:durableId="46347014">
    <w:abstractNumId w:val="5"/>
  </w:num>
  <w:num w:numId="7" w16cid:durableId="1032998007">
    <w:abstractNumId w:val="4"/>
  </w:num>
  <w:num w:numId="8" w16cid:durableId="451675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0BD"/>
    <w:rsid w:val="0004021C"/>
    <w:rsid w:val="00060441"/>
    <w:rsid w:val="000F1BF7"/>
    <w:rsid w:val="00102359"/>
    <w:rsid w:val="0010417D"/>
    <w:rsid w:val="00192814"/>
    <w:rsid w:val="001C3938"/>
    <w:rsid w:val="001C5384"/>
    <w:rsid w:val="002D35B8"/>
    <w:rsid w:val="003528B7"/>
    <w:rsid w:val="003B4EF9"/>
    <w:rsid w:val="003B7981"/>
    <w:rsid w:val="003F3247"/>
    <w:rsid w:val="00403893"/>
    <w:rsid w:val="004E13C6"/>
    <w:rsid w:val="005114A7"/>
    <w:rsid w:val="00563D86"/>
    <w:rsid w:val="00602418"/>
    <w:rsid w:val="0068198D"/>
    <w:rsid w:val="00690318"/>
    <w:rsid w:val="00694F77"/>
    <w:rsid w:val="006D5B0D"/>
    <w:rsid w:val="006F794B"/>
    <w:rsid w:val="00711E01"/>
    <w:rsid w:val="0074220E"/>
    <w:rsid w:val="00771FCD"/>
    <w:rsid w:val="007727CE"/>
    <w:rsid w:val="007A0141"/>
    <w:rsid w:val="00812DF7"/>
    <w:rsid w:val="008D0121"/>
    <w:rsid w:val="008F46DC"/>
    <w:rsid w:val="00950BC8"/>
    <w:rsid w:val="009527AE"/>
    <w:rsid w:val="009C57AD"/>
    <w:rsid w:val="00A445DC"/>
    <w:rsid w:val="00A5720D"/>
    <w:rsid w:val="00A63F17"/>
    <w:rsid w:val="00AB560A"/>
    <w:rsid w:val="00B76D43"/>
    <w:rsid w:val="00D144D9"/>
    <w:rsid w:val="00E23E09"/>
    <w:rsid w:val="00E312B3"/>
    <w:rsid w:val="00E46F7F"/>
    <w:rsid w:val="00F960CF"/>
    <w:rsid w:val="00FB00BD"/>
    <w:rsid w:val="00FF0F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EFA87"/>
  <w15:chartTrackingRefBased/>
  <w15:docId w15:val="{B4DFFFFE-E57C-4D9C-972E-9810A5AB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B76D43"/>
    <w:pPr>
      <w:spacing w:after="210"/>
    </w:pPr>
    <w:rPr>
      <w:rFonts w:ascii="Arial Nova" w:eastAsiaTheme="minorEastAsia" w:hAnsi="Arial Nova" w:cs="Arial"/>
      <w:color w:val="212121"/>
      <w:kern w:val="0"/>
      <w:sz w:val="21"/>
      <w:szCs w:val="21"/>
      <w:shd w:val="clear" w:color="auto" w:fill="FFFFFF"/>
      <w14:ligatures w14:val="none"/>
    </w:rPr>
  </w:style>
  <w:style w:type="paragraph" w:styleId="Heading1">
    <w:name w:val="heading 1"/>
    <w:basedOn w:val="Normal"/>
    <w:next w:val="Normal"/>
    <w:link w:val="Heading1Char"/>
    <w:qFormat/>
    <w:rsid w:val="00B76D43"/>
    <w:pPr>
      <w:spacing w:before="720"/>
      <w:outlineLvl w:val="0"/>
    </w:pPr>
    <w:rPr>
      <w:rFonts w:ascii="Arial Nova Light" w:hAnsi="Arial Nova Light"/>
      <w:color w:val="0C284C" w:themeColor="text1"/>
      <w:sz w:val="72"/>
      <w:szCs w:val="72"/>
      <w:lang w:val="en-US"/>
    </w:rPr>
  </w:style>
  <w:style w:type="paragraph" w:styleId="Heading2">
    <w:name w:val="heading 2"/>
    <w:basedOn w:val="Normal"/>
    <w:next w:val="Normal"/>
    <w:link w:val="Heading2Char"/>
    <w:unhideWhenUsed/>
    <w:qFormat/>
    <w:rsid w:val="00A63F17"/>
    <w:pPr>
      <w:spacing w:after="200"/>
      <w:outlineLvl w:val="1"/>
    </w:pPr>
    <w:rPr>
      <w:b/>
      <w:bCs/>
      <w:sz w:val="40"/>
      <w:szCs w:val="40"/>
      <w:lang w:val="en-US"/>
    </w:rPr>
  </w:style>
  <w:style w:type="paragraph" w:styleId="Heading3">
    <w:name w:val="heading 3"/>
    <w:aliases w:val="Intro Text"/>
    <w:basedOn w:val="Normal"/>
    <w:next w:val="Normal"/>
    <w:link w:val="Heading3Char"/>
    <w:unhideWhenUsed/>
    <w:qFormat/>
    <w:rsid w:val="00B76D43"/>
    <w:pPr>
      <w:spacing w:after="320"/>
      <w:outlineLvl w:val="2"/>
    </w:pPr>
    <w:rPr>
      <w:rFonts w:cs="Open Sans"/>
      <w:color w:val="424242"/>
      <w:sz w:val="32"/>
      <w:szCs w:val="32"/>
    </w:rPr>
  </w:style>
  <w:style w:type="paragraph" w:styleId="Heading4">
    <w:name w:val="heading 4"/>
    <w:basedOn w:val="Normal"/>
    <w:next w:val="Normal"/>
    <w:link w:val="Heading4Char"/>
    <w:uiPriority w:val="9"/>
    <w:unhideWhenUsed/>
    <w:qFormat/>
    <w:rsid w:val="00B76D43"/>
    <w:pPr>
      <w:spacing w:after="240"/>
      <w:outlineLvl w:val="3"/>
    </w:pPr>
    <w:rPr>
      <w:rFonts w:cs="Open Sans"/>
      <w:color w:val="29ABE2" w:themeColor="accent1"/>
      <w:sz w:val="32"/>
      <w:szCs w:val="32"/>
    </w:rPr>
  </w:style>
  <w:style w:type="paragraph" w:styleId="Heading5">
    <w:name w:val="heading 5"/>
    <w:basedOn w:val="Normal"/>
    <w:link w:val="Heading5Char"/>
    <w:unhideWhenUsed/>
    <w:qFormat/>
    <w:rsid w:val="00B76D43"/>
    <w:pPr>
      <w:spacing w:after="0"/>
      <w:outlineLvl w:val="4"/>
    </w:pPr>
    <w:rPr>
      <w:b/>
      <w:bCs/>
      <w:color w:val="000000"/>
    </w:rPr>
  </w:style>
  <w:style w:type="paragraph" w:styleId="Heading6">
    <w:name w:val="heading 6"/>
    <w:basedOn w:val="Normal"/>
    <w:link w:val="Heading6Char"/>
    <w:unhideWhenUsed/>
    <w:qFormat/>
    <w:rsid w:val="00B76D43"/>
    <w:pPr>
      <w:spacing w:after="0"/>
      <w:outlineLvl w:val="5"/>
    </w:pPr>
    <w:rPr>
      <w:b/>
      <w:bCs/>
      <w:color w:val="5E5E5E"/>
      <w:sz w:val="18"/>
      <w:szCs w:val="18"/>
    </w:rPr>
  </w:style>
  <w:style w:type="paragraph" w:styleId="Heading7">
    <w:name w:val="heading 7"/>
    <w:basedOn w:val="Normal"/>
    <w:link w:val="Heading7Char"/>
    <w:unhideWhenUsed/>
    <w:rsid w:val="00E46F7F"/>
    <w:pPr>
      <w:numPr>
        <w:ilvl w:val="6"/>
        <w:numId w:val="1"/>
      </w:numPr>
      <w:spacing w:before="240"/>
      <w:jc w:val="both"/>
      <w:outlineLvl w:val="6"/>
    </w:pPr>
    <w:rPr>
      <w:rFonts w:ascii="Arial" w:eastAsia="Times New Roman" w:hAnsi="Arial" w:cs="Times New Roman"/>
      <w:sz w:val="20"/>
      <w:szCs w:val="20"/>
    </w:rPr>
  </w:style>
  <w:style w:type="paragraph" w:styleId="Heading8">
    <w:name w:val="heading 8"/>
    <w:basedOn w:val="Normal"/>
    <w:link w:val="Heading8Char"/>
    <w:unhideWhenUsed/>
    <w:rsid w:val="00E46F7F"/>
    <w:pPr>
      <w:numPr>
        <w:ilvl w:val="7"/>
        <w:numId w:val="1"/>
      </w:numPr>
      <w:spacing w:before="240"/>
      <w:jc w:val="both"/>
      <w:outlineLvl w:val="7"/>
    </w:pPr>
    <w:rPr>
      <w:rFonts w:ascii="Arial" w:eastAsia="Times New Roman" w:hAnsi="Arial" w:cs="Times New Roman"/>
      <w:sz w:val="20"/>
      <w:szCs w:val="20"/>
    </w:rPr>
  </w:style>
  <w:style w:type="paragraph" w:styleId="Heading9">
    <w:name w:val="heading 9"/>
    <w:basedOn w:val="Normal"/>
    <w:link w:val="Heading9Char"/>
    <w:unhideWhenUsed/>
    <w:rsid w:val="00E46F7F"/>
    <w:pPr>
      <w:numPr>
        <w:ilvl w:val="8"/>
        <w:numId w:val="1"/>
      </w:numPr>
      <w:spacing w:before="240" w:after="60"/>
      <w:jc w:val="both"/>
      <w:outlineLvl w:val="8"/>
    </w:pPr>
    <w:rPr>
      <w:rFonts w:ascii="Arial" w:eastAsia="Times New Roman" w:hAnsi="Arial"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F7F"/>
    <w:pPr>
      <w:tabs>
        <w:tab w:val="center" w:pos="4680"/>
        <w:tab w:val="right" w:pos="9360"/>
      </w:tabs>
    </w:pPr>
  </w:style>
  <w:style w:type="character" w:customStyle="1" w:styleId="HeaderChar">
    <w:name w:val="Header Char"/>
    <w:basedOn w:val="DefaultParagraphFont"/>
    <w:link w:val="Header"/>
    <w:uiPriority w:val="99"/>
    <w:rsid w:val="00E46F7F"/>
  </w:style>
  <w:style w:type="paragraph" w:styleId="Footer">
    <w:name w:val="footer"/>
    <w:basedOn w:val="Normal"/>
    <w:link w:val="FooterChar"/>
    <w:uiPriority w:val="99"/>
    <w:unhideWhenUsed/>
    <w:rsid w:val="00E46F7F"/>
    <w:pPr>
      <w:tabs>
        <w:tab w:val="center" w:pos="4680"/>
        <w:tab w:val="right" w:pos="9360"/>
      </w:tabs>
    </w:pPr>
  </w:style>
  <w:style w:type="character" w:customStyle="1" w:styleId="FooterChar">
    <w:name w:val="Footer Char"/>
    <w:basedOn w:val="DefaultParagraphFont"/>
    <w:link w:val="Footer"/>
    <w:uiPriority w:val="99"/>
    <w:rsid w:val="00E46F7F"/>
  </w:style>
  <w:style w:type="character" w:customStyle="1" w:styleId="Heading1Char">
    <w:name w:val="Heading 1 Char"/>
    <w:basedOn w:val="DefaultParagraphFont"/>
    <w:link w:val="Heading1"/>
    <w:rsid w:val="00B76D43"/>
    <w:rPr>
      <w:rFonts w:ascii="Arial Nova Light" w:eastAsiaTheme="minorEastAsia" w:hAnsi="Arial Nova Light" w:cs="Arial"/>
      <w:color w:val="0C284C" w:themeColor="text1"/>
      <w:kern w:val="0"/>
      <w:sz w:val="72"/>
      <w:szCs w:val="72"/>
      <w:lang w:val="en-US"/>
      <w14:ligatures w14:val="none"/>
    </w:rPr>
  </w:style>
  <w:style w:type="character" w:customStyle="1" w:styleId="Heading2Char">
    <w:name w:val="Heading 2 Char"/>
    <w:basedOn w:val="DefaultParagraphFont"/>
    <w:link w:val="Heading2"/>
    <w:rsid w:val="00A63F17"/>
    <w:rPr>
      <w:rFonts w:ascii="Arial Nova" w:eastAsiaTheme="minorEastAsia" w:hAnsi="Arial Nova"/>
      <w:b/>
      <w:bCs/>
      <w:kern w:val="0"/>
      <w:sz w:val="40"/>
      <w:szCs w:val="40"/>
      <w:lang w:val="en-US"/>
      <w14:ligatures w14:val="none"/>
    </w:rPr>
  </w:style>
  <w:style w:type="character" w:customStyle="1" w:styleId="Heading3Char">
    <w:name w:val="Heading 3 Char"/>
    <w:aliases w:val="Intro Text Char"/>
    <w:basedOn w:val="DefaultParagraphFont"/>
    <w:link w:val="Heading3"/>
    <w:rsid w:val="00B76D43"/>
    <w:rPr>
      <w:rFonts w:ascii="Arial Nova" w:eastAsiaTheme="minorEastAsia" w:hAnsi="Arial Nova" w:cs="Open Sans"/>
      <w:color w:val="424242"/>
      <w:kern w:val="0"/>
      <w:sz w:val="32"/>
      <w:szCs w:val="32"/>
      <w14:ligatures w14:val="none"/>
    </w:rPr>
  </w:style>
  <w:style w:type="character" w:customStyle="1" w:styleId="Heading5Char">
    <w:name w:val="Heading 5 Char"/>
    <w:basedOn w:val="DefaultParagraphFont"/>
    <w:link w:val="Heading5"/>
    <w:rsid w:val="00B76D43"/>
    <w:rPr>
      <w:rFonts w:ascii="Arial Nova" w:eastAsiaTheme="minorEastAsia" w:hAnsi="Arial Nova" w:cs="Arial"/>
      <w:b/>
      <w:bCs/>
      <w:color w:val="000000"/>
      <w:kern w:val="0"/>
      <w:sz w:val="21"/>
      <w:szCs w:val="21"/>
      <w14:ligatures w14:val="none"/>
    </w:rPr>
  </w:style>
  <w:style w:type="character" w:customStyle="1" w:styleId="Heading6Char">
    <w:name w:val="Heading 6 Char"/>
    <w:basedOn w:val="DefaultParagraphFont"/>
    <w:link w:val="Heading6"/>
    <w:rsid w:val="00B76D43"/>
    <w:rPr>
      <w:rFonts w:ascii="Arial Nova" w:eastAsiaTheme="minorEastAsia" w:hAnsi="Arial Nova" w:cs="Arial"/>
      <w:b/>
      <w:bCs/>
      <w:color w:val="5E5E5E"/>
      <w:kern w:val="0"/>
      <w:sz w:val="18"/>
      <w:szCs w:val="18"/>
      <w14:ligatures w14:val="none"/>
    </w:rPr>
  </w:style>
  <w:style w:type="character" w:customStyle="1" w:styleId="Heading7Char">
    <w:name w:val="Heading 7 Char"/>
    <w:basedOn w:val="DefaultParagraphFont"/>
    <w:link w:val="Heading7"/>
    <w:rsid w:val="00E46F7F"/>
    <w:rPr>
      <w:rFonts w:ascii="Arial" w:eastAsia="Times New Roman" w:hAnsi="Arial" w:cs="Times New Roman"/>
      <w:kern w:val="0"/>
      <w:sz w:val="20"/>
      <w:szCs w:val="20"/>
      <w14:ligatures w14:val="none"/>
    </w:rPr>
  </w:style>
  <w:style w:type="character" w:customStyle="1" w:styleId="Heading8Char">
    <w:name w:val="Heading 8 Char"/>
    <w:basedOn w:val="DefaultParagraphFont"/>
    <w:link w:val="Heading8"/>
    <w:rsid w:val="00E46F7F"/>
    <w:rPr>
      <w:rFonts w:ascii="Arial" w:eastAsia="Times New Roman" w:hAnsi="Arial" w:cs="Times New Roman"/>
      <w:kern w:val="0"/>
      <w:sz w:val="20"/>
      <w:szCs w:val="20"/>
      <w14:ligatures w14:val="none"/>
    </w:rPr>
  </w:style>
  <w:style w:type="character" w:customStyle="1" w:styleId="Heading9Char">
    <w:name w:val="Heading 9 Char"/>
    <w:basedOn w:val="DefaultParagraphFont"/>
    <w:link w:val="Heading9"/>
    <w:rsid w:val="00E46F7F"/>
    <w:rPr>
      <w:rFonts w:ascii="Arial" w:eastAsia="Times New Roman" w:hAnsi="Arial" w:cs="Times New Roman"/>
      <w:kern w:val="0"/>
      <w:sz w:val="20"/>
      <w:szCs w:val="20"/>
      <w14:ligatures w14:val="none"/>
    </w:rPr>
  </w:style>
  <w:style w:type="character" w:customStyle="1" w:styleId="CaptionChar">
    <w:name w:val="Caption Char"/>
    <w:basedOn w:val="DefaultParagraphFont"/>
    <w:link w:val="Caption"/>
    <w:uiPriority w:val="35"/>
    <w:locked/>
    <w:rsid w:val="00E46F7F"/>
    <w:rPr>
      <w:rFonts w:ascii="Arial" w:hAnsi="Arial" w:cs="Arial"/>
      <w:i/>
      <w:iCs/>
      <w:color w:val="0C284C" w:themeColor="text2"/>
      <w:sz w:val="16"/>
      <w:szCs w:val="18"/>
    </w:rPr>
  </w:style>
  <w:style w:type="paragraph" w:styleId="Caption">
    <w:name w:val="caption"/>
    <w:basedOn w:val="Normal"/>
    <w:next w:val="Normal"/>
    <w:link w:val="CaptionChar"/>
    <w:uiPriority w:val="35"/>
    <w:unhideWhenUsed/>
    <w:rsid w:val="00E46F7F"/>
    <w:pPr>
      <w:spacing w:after="40"/>
      <w:jc w:val="both"/>
    </w:pPr>
    <w:rPr>
      <w:rFonts w:ascii="Arial" w:eastAsiaTheme="minorHAnsi" w:hAnsi="Arial"/>
      <w:i/>
      <w:iCs/>
      <w:color w:val="0C284C" w:themeColor="text2"/>
      <w:kern w:val="2"/>
      <w:sz w:val="16"/>
      <w:szCs w:val="18"/>
      <w14:ligatures w14:val="standardContextual"/>
    </w:rPr>
  </w:style>
  <w:style w:type="paragraph" w:styleId="FootnoteText">
    <w:name w:val="footnote text"/>
    <w:aliases w:val="Footnote Text Char1,Footnote Text Char Char,Footnote Text Char1 Char,Footnote Text Char Char Char,Char Char,Footnote Text Char2 Char,Footnote Text Char2 Char Char Char Char,Footnote Text Char1 Char1 Char1 Char Char Char"/>
    <w:basedOn w:val="Normal"/>
    <w:link w:val="FootnoteTextChar"/>
    <w:uiPriority w:val="99"/>
    <w:unhideWhenUsed/>
    <w:qFormat/>
    <w:rsid w:val="00E46F7F"/>
    <w:pPr>
      <w:jc w:val="both"/>
    </w:pPr>
    <w:rPr>
      <w:rFonts w:ascii="Arial" w:eastAsiaTheme="minorHAnsi" w:hAnsi="Arial"/>
      <w:sz w:val="20"/>
      <w:szCs w:val="20"/>
    </w:rPr>
  </w:style>
  <w:style w:type="character" w:customStyle="1" w:styleId="FootnoteTextChar">
    <w:name w:val="Footnote Text Char"/>
    <w:aliases w:val="Footnote Text Char1 Char1,Footnote Text Char Char Char1,Footnote Text Char1 Char Char,Footnote Text Char Char Char Char,Char Char Char,Footnote Text Char2 Char Char,Footnote Text Char2 Char Char Char Char Char"/>
    <w:basedOn w:val="DefaultParagraphFont"/>
    <w:link w:val="FootnoteText"/>
    <w:uiPriority w:val="99"/>
    <w:rsid w:val="00E46F7F"/>
    <w:rPr>
      <w:rFonts w:ascii="Arial" w:hAnsi="Arial"/>
      <w:kern w:val="0"/>
      <w:sz w:val="20"/>
      <w:szCs w:val="20"/>
      <w14:ligatures w14:val="none"/>
    </w:rPr>
  </w:style>
  <w:style w:type="character" w:customStyle="1" w:styleId="ListParagraphChar">
    <w:name w:val="List Paragraph Char"/>
    <w:basedOn w:val="DefaultParagraphFont"/>
    <w:link w:val="ListParagraph"/>
    <w:uiPriority w:val="34"/>
    <w:locked/>
    <w:rsid w:val="00E46F7F"/>
    <w:rPr>
      <w:rFonts w:ascii="Segoe UI" w:eastAsia="Times New Roman" w:hAnsi="Segoe UI" w:cs="Times New Roman"/>
      <w:sz w:val="20"/>
    </w:rPr>
  </w:style>
  <w:style w:type="paragraph" w:styleId="ListParagraph">
    <w:name w:val="List Paragraph"/>
    <w:basedOn w:val="Normal"/>
    <w:link w:val="ListParagraphChar"/>
    <w:uiPriority w:val="34"/>
    <w:rsid w:val="00E46F7F"/>
    <w:pPr>
      <w:spacing w:before="120"/>
      <w:ind w:left="720"/>
      <w:jc w:val="both"/>
    </w:pPr>
    <w:rPr>
      <w:rFonts w:eastAsia="Times New Roman" w:cs="Times New Roman"/>
      <w:kern w:val="2"/>
      <w:sz w:val="20"/>
      <w14:ligatures w14:val="standardContextual"/>
    </w:rPr>
  </w:style>
  <w:style w:type="character" w:styleId="FootnoteReference">
    <w:name w:val="footnote reference"/>
    <w:aliases w:val="o,fr,Style 3,o1,o2,o3,o4,o5,o6,o11,o21,o7"/>
    <w:basedOn w:val="DefaultParagraphFont"/>
    <w:uiPriority w:val="99"/>
    <w:unhideWhenUsed/>
    <w:rsid w:val="00E46F7F"/>
    <w:rPr>
      <w:vertAlign w:val="superscript"/>
    </w:rPr>
  </w:style>
  <w:style w:type="character" w:styleId="Hyperlink">
    <w:name w:val="Hyperlink"/>
    <w:basedOn w:val="DefaultParagraphFont"/>
    <w:uiPriority w:val="99"/>
    <w:unhideWhenUsed/>
    <w:rsid w:val="00E46F7F"/>
    <w:rPr>
      <w:color w:val="00B0F0" w:themeColor="hyperlink"/>
      <w:u w:val="single"/>
    </w:rPr>
  </w:style>
  <w:style w:type="paragraph" w:styleId="NormalWeb">
    <w:name w:val="Normal (Web)"/>
    <w:basedOn w:val="Normal"/>
    <w:uiPriority w:val="99"/>
    <w:unhideWhenUsed/>
    <w:rsid w:val="00E46F7F"/>
    <w:pPr>
      <w:spacing w:before="100" w:beforeAutospacing="1" w:after="100" w:afterAutospacing="1"/>
    </w:pPr>
    <w:rPr>
      <w:rFonts w:ascii="Calibri" w:eastAsiaTheme="minorHAnsi" w:hAnsi="Calibri" w:cs="Calibri"/>
      <w:sz w:val="22"/>
      <w:szCs w:val="22"/>
      <w:lang w:val="en-US"/>
    </w:rPr>
  </w:style>
  <w:style w:type="character" w:styleId="PageNumber">
    <w:name w:val="page number"/>
    <w:basedOn w:val="DefaultParagraphFont"/>
    <w:uiPriority w:val="99"/>
    <w:semiHidden/>
    <w:unhideWhenUsed/>
    <w:rsid w:val="0004021C"/>
  </w:style>
  <w:style w:type="character" w:styleId="Strong">
    <w:name w:val="Strong"/>
    <w:basedOn w:val="DefaultParagraphFont"/>
    <w:uiPriority w:val="22"/>
    <w:rsid w:val="00A63F17"/>
    <w:rPr>
      <w:b/>
      <w:bCs/>
    </w:rPr>
  </w:style>
  <w:style w:type="character" w:customStyle="1" w:styleId="Heading4Char">
    <w:name w:val="Heading 4 Char"/>
    <w:basedOn w:val="DefaultParagraphFont"/>
    <w:link w:val="Heading4"/>
    <w:uiPriority w:val="9"/>
    <w:rsid w:val="00B76D43"/>
    <w:rPr>
      <w:rFonts w:ascii="Arial Nova" w:eastAsiaTheme="minorEastAsia" w:hAnsi="Arial Nova" w:cs="Open Sans"/>
      <w:color w:val="29ABE2" w:themeColor="accent1"/>
      <w:kern w:val="0"/>
      <w:sz w:val="32"/>
      <w:szCs w:val="32"/>
      <w14:ligatures w14:val="none"/>
    </w:rPr>
  </w:style>
  <w:style w:type="paragraph" w:customStyle="1" w:styleId="BulletList">
    <w:name w:val="Bullet List"/>
    <w:qFormat/>
    <w:rsid w:val="008D0121"/>
    <w:pPr>
      <w:numPr>
        <w:numId w:val="8"/>
      </w:numPr>
      <w:spacing w:before="105" w:after="105"/>
      <w:ind w:left="274" w:hanging="274"/>
    </w:pPr>
    <w:rPr>
      <w:rFonts w:ascii="Arial Nova" w:eastAsia="Times New Roman" w:hAnsi="Arial Nova" w:cs="Times New Roman"/>
      <w:color w:val="212121"/>
      <w:sz w:val="21"/>
      <w:szCs w:val="21"/>
      <w:shd w:val="clear" w:color="auto" w:fill="FFFFFF"/>
    </w:rPr>
  </w:style>
  <w:style w:type="paragraph" w:customStyle="1" w:styleId="SubBulletList">
    <w:name w:val="Sub Bullet List"/>
    <w:basedOn w:val="ListParagraph"/>
    <w:qFormat/>
    <w:rsid w:val="008D0121"/>
    <w:pPr>
      <w:numPr>
        <w:ilvl w:val="1"/>
        <w:numId w:val="8"/>
      </w:numPr>
      <w:spacing w:before="105" w:after="105"/>
      <w:ind w:left="540" w:hanging="270"/>
    </w:pPr>
    <w:rPr>
      <w:sz w:val="21"/>
    </w:rPr>
  </w:style>
  <w:style w:type="character" w:styleId="UnresolvedMention">
    <w:name w:val="Unresolved Mention"/>
    <w:basedOn w:val="DefaultParagraphFont"/>
    <w:uiPriority w:val="99"/>
    <w:semiHidden/>
    <w:unhideWhenUsed/>
    <w:rsid w:val="007A0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ydrostorcorp.sharepoint.com/sites/BrandGuide/Shared%20Documents/Word%20Templates/2%20-%20Business%20Documents%20&#8211;&#160;Not%20Controlled/Hydrostor/Hydrostor-Letterhead%20Template_Denver_v3.dotx" TargetMode="External"/></Relationships>
</file>

<file path=word/theme/theme1.xml><?xml version="1.0" encoding="utf-8"?>
<a:theme xmlns:a="http://schemas.openxmlformats.org/drawingml/2006/main" name="Office Theme">
  <a:themeElements>
    <a:clrScheme name="Hydrostor Pre-Refresh">
      <a:dk1>
        <a:srgbClr val="0C284C"/>
      </a:dk1>
      <a:lt1>
        <a:srgbClr val="FFFFFF"/>
      </a:lt1>
      <a:dk2>
        <a:srgbClr val="0C284C"/>
      </a:dk2>
      <a:lt2>
        <a:srgbClr val="FFFFFF"/>
      </a:lt2>
      <a:accent1>
        <a:srgbClr val="29ABE2"/>
      </a:accent1>
      <a:accent2>
        <a:srgbClr val="7EBD4E"/>
      </a:accent2>
      <a:accent3>
        <a:srgbClr val="C41F3F"/>
      </a:accent3>
      <a:accent4>
        <a:srgbClr val="FAF003"/>
      </a:accent4>
      <a:accent5>
        <a:srgbClr val="F0A91E"/>
      </a:accent5>
      <a:accent6>
        <a:srgbClr val="625DF0"/>
      </a:accent6>
      <a:hlink>
        <a:srgbClr val="00B0F0"/>
      </a:hlink>
      <a:folHlink>
        <a:srgbClr val="D8D8D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49F789A3E06145AC57721DB239A30F" ma:contentTypeVersion="3" ma:contentTypeDescription="Create a new document." ma:contentTypeScope="" ma:versionID="31f891e59e1a515b3a69000419462b78">
  <xsd:schema xmlns:xsd="http://www.w3.org/2001/XMLSchema" xmlns:xs="http://www.w3.org/2001/XMLSchema" xmlns:p="http://schemas.microsoft.com/office/2006/metadata/properties" xmlns:ns2="534c5b87-eff4-40e5-8904-89c845c03a39" targetNamespace="http://schemas.microsoft.com/office/2006/metadata/properties" ma:root="true" ma:fieldsID="f72590070a0e4728c290e98f52f9c8fe" ns2:_="">
    <xsd:import namespace="534c5b87-eff4-40e5-8904-89c845c03a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c5b87-eff4-40e5-8904-89c845c03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67A0B-1AB6-440B-9B3B-259AA3902B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F7A414-60B7-4F35-BAFA-C4EBB05E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c5b87-eff4-40e5-8904-89c845c03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8817B-793D-435F-8E92-ABBDFDE57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Hydrostor-Letterhead%20Template_Denver_v3</Template>
  <TotalTime>8</TotalTime>
  <Pages>5</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Murtaugh</dc:creator>
  <cp:keywords/>
  <dc:description/>
  <cp:lastModifiedBy>Gabe Murtaugh</cp:lastModifiedBy>
  <cp:revision>5</cp:revision>
  <dcterms:created xsi:type="dcterms:W3CDTF">2026-07-21T15:29:00Z</dcterms:created>
  <dcterms:modified xsi:type="dcterms:W3CDTF">2026-07-21T15:38:00Z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0x0101009E49F789A3E06145AC57721DB239A30F</vt:lpwstr>
  </property>
  <property fmtid="{D5CDD505-2E9C-101B-9397-08002B2CF9AE}" pid="3" name="MediaServiceImageTags">
    <vt:lpwstr/>
  </property>
</Properties>
</file>