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B15D98" w:rsidRPr="00B63A1B" w:rsidP="00B15D98" w14:paraId="7A475337" w14:textId="77777777">
      <w:pPr>
        <w:pStyle w:val="Title"/>
        <w:bidi w:val="0"/>
        <w:rPr>
          <w:sz w:val="34"/>
          <w:szCs w:val="34"/>
        </w:rPr>
      </w:pPr>
      <w:r w:rsidRPr="00B63A1B">
        <w:rPr>
          <w:sz w:val="34"/>
          <w:szCs w:val="34"/>
          <w:rtl w:val="0"/>
          <w:lang w:val="es"/>
        </w:rPr>
        <w:t>AUDIENCIA DE PARTICIPACIÓN PÚBLICA</w:t>
      </w:r>
    </w:p>
    <w:p w:rsidR="00B15D98" w:rsidRPr="00B63A1B" w:rsidP="00B15D98" w14:paraId="1D50718C" w14:textId="77777777">
      <w:pPr>
        <w:pStyle w:val="Subtitle"/>
        <w:bidi w:val="0"/>
        <w:spacing w:after="0" w:line="240" w:lineRule="auto"/>
        <w:contextualSpacing/>
        <w:rPr>
          <w:sz w:val="26"/>
          <w:szCs w:val="26"/>
        </w:rPr>
      </w:pPr>
      <w:r>
        <w:rPr>
          <w:rFonts w:eastAsiaTheme="majorEastAsia" w:cs="Times New Roman (Headings CS)"/>
          <w:kern w:val="28"/>
          <w:szCs w:val="28"/>
          <w:rtl w:val="0"/>
          <w:lang w:val="es"/>
        </w:rPr>
        <w:t>Southern California Gas Company – Proyecto piloto para mezclar hidrógeno en Orange Cove</w:t>
        <w:br/>
      </w:r>
      <w:r w:rsidRPr="00B63A1B">
        <w:rPr>
          <w:sz w:val="26"/>
          <w:szCs w:val="26"/>
          <w:rtl w:val="0"/>
          <w:lang w:val="es"/>
        </w:rPr>
        <w:t>(A.22-09-006)</w:t>
      </w:r>
    </w:p>
    <w:p w:rsidR="00B15D98" w:rsidP="00B15D98" w14:paraId="3220D869" w14:textId="77777777">
      <w:pPr>
        <w:pStyle w:val="Heading1"/>
        <w:bidi w:val="0"/>
      </w:pPr>
      <w:r>
        <w:rPr>
          <w:rtl w:val="0"/>
          <w:lang w:val="es"/>
        </w:rPr>
        <w:t>¿Qué es una Audiencia de Participación Pública?</w:t>
      </w:r>
    </w:p>
    <w:p w:rsidR="00B15D98" w:rsidRPr="003927B2" w:rsidP="00B15D98" w14:paraId="311AF1BD" w14:textId="77777777">
      <w:pPr>
        <w:bidi w:val="0"/>
      </w:pPr>
      <w:r>
        <w:rPr>
          <w:rtl w:val="0"/>
          <w:lang w:val="es"/>
        </w:rPr>
        <w:t xml:space="preserve">El propósito de esta Audiencia de Participación Pública (PPH, por sus siglas en inglés) es proporcionar una oportunidad para comunicarse directamente con la Comisión de Servicios Públicos de California (CPUC, por sus siglas en inglés) con respecto a la solicitud pendiente de la empresa de gas denominada Southern California Gas Company (SoCalGas) para probar la mezcla de hidrógeno en el sistema de distribución de gas natural de Orange Cove, California, para conocer cómo esta solicitud podría afectarle y compartir cualquier preocupación que pueda tener sobre el proyecto piloto propuesto ante la CPUC. </w:t>
      </w:r>
    </w:p>
    <w:p w:rsidR="00B15D98" w:rsidP="00B15D98" w14:paraId="71B89EF9" w14:textId="77777777">
      <w:pPr>
        <w:pStyle w:val="Heading1"/>
        <w:bidi w:val="0"/>
      </w:pPr>
      <w:r>
        <w:rPr>
          <w:rtl w:val="0"/>
          <w:lang w:val="es"/>
        </w:rPr>
        <w:t>¿De qué trata este proyecto piloto?</w:t>
      </w:r>
    </w:p>
    <w:p w:rsidR="00B15D98" w:rsidP="00B15D98" w14:paraId="52B7A2F4" w14:textId="77777777">
      <w:pPr>
        <w:bidi w:val="0"/>
      </w:pPr>
      <w:r>
        <w:rPr>
          <w:rtl w:val="0"/>
          <w:lang w:val="es"/>
        </w:rPr>
        <w:t xml:space="preserve">Este proyecto piloto es parte de un esfuerzo más amplio a nivel estatal dirigido por las principales empresas de gas de California para explorar la mezcla segura y eficaz de hidrógeno renovable limpio en el sistema de gas natural. El uso de hidrógeno renovable limpio generado mediante energía renovable se considera una forma potencial de ayudar a reducir la intensidad de carbono del suministro de gas y acercar a California a su objetivo de lograr un 100 por ciento de energía libre de carbono para 2045.  Si se aprueba, este proyecto piloto evaluará la mezcla de hidrógeno en una red de distribución que sirve aproximadamente a 2,000 medidores de clientes y 10,000 residentes en Orange Cove. </w:t>
      </w:r>
      <w:r w:rsidRPr="0BF9B8F9">
        <w:rPr>
          <w:color w:val="000000" w:themeColor="text1"/>
          <w:rtl w:val="0"/>
          <w:lang w:val="es"/>
        </w:rPr>
        <w:t>El hidrógeno se producirá fuera de la ciudad utilizando energía solar y se introducirá en el suministro de gas de la comunidad comenzando con un 0.1 por ciento del volumen total, aumentando gradualmente hasta un máximo del 5 % por volumen,</w:t>
      </w:r>
      <w:r>
        <w:rPr>
          <w:rtl w:val="0"/>
          <w:lang w:val="es"/>
        </w:rPr>
        <w:t xml:space="preserve"> dependiendo del resultado de los estudios de seguridad realizados durante el estudio. Los datos recopilados del proyecto piloto ayudarán a determinar cómo la mezcla de hidrógeno </w:t>
      </w:r>
      <w:r w:rsidRPr="0BF9B8F9">
        <w:rPr>
          <w:color w:val="000000" w:themeColor="text1"/>
          <w:rtl w:val="0"/>
          <w:lang w:val="es"/>
        </w:rPr>
        <w:t>afecta a una amplia gama de electrodomésticos de los clientes y materiales de tuberías de distribución de gas</w:t>
      </w:r>
      <w:r>
        <w:rPr>
          <w:rtl w:val="0"/>
          <w:lang w:val="es"/>
        </w:rPr>
        <w:t xml:space="preserve"> bajo condiciones de operación típicas y respaldarán el desarrollo de un estándar estatal de mezcla de hidrógeno.</w:t>
      </w:r>
    </w:p>
    <w:p w:rsidR="00B15D98" w:rsidRPr="007608FA" w:rsidP="00B15D98" w14:paraId="69F34514" w14:textId="77777777">
      <w:pPr>
        <w:pStyle w:val="Heading1"/>
        <w:bidi w:val="0"/>
      </w:pPr>
      <w:r>
        <w:rPr>
          <w:rtl w:val="0"/>
          <w:lang w:val="es"/>
        </w:rPr>
        <w:t>Antecedentes</w:t>
      </w:r>
    </w:p>
    <w:p w:rsidR="00B15D98" w:rsidP="00B15D98" w14:paraId="34ADF352" w14:textId="77777777">
      <w:pPr>
        <w:bidi w:val="0"/>
      </w:pPr>
      <w:r>
        <w:rPr>
          <w:rtl w:val="0"/>
          <w:lang w:val="es"/>
        </w:rPr>
        <w:t>A medida que California persigue ambiciosos objetivos de reducción de carbono, incluida la neutralidad de carbono para 2045, el hidrógeno renovable limpio ha surgido como un combustible que podría potencialmente ayudar a descarbonizar las operaciones comerciales e industriales difíciles de electrificar. La mezcla de hidrógeno renovable limpio en la infraestructura de gas natural existente puede ofrecer una estrategia a corto plazo para reducir las emisiones de gases de efecto invernadero mientras se utilizan los sistemas de tuberías actuales.</w:t>
        <w:br/>
        <w:br/>
        <w:t xml:space="preserve">En respuesta a la Decisión 22-12-057 de la CPUC, SoCalGas y otras empresas de servicios públicos fueron dirigidas a desarrollar proyectos piloto para probar mezclas de hidrógeno con una concentración </w:t>
      </w:r>
      <w:r w:rsidRPr="707BEEB9">
        <w:rPr>
          <w:color w:val="000000" w:themeColor="text1"/>
          <w:rtl w:val="0"/>
          <w:lang w:val="es"/>
        </w:rPr>
        <w:t>superior al 0.1 por ciento (la cantidad actualmente permitida de contenido de hidrógeno en el gas natural). Si se aprueban, estos proyectos piloto informarán el desarrollo de un estándar seguro a nivel estatal para la inyección de hidrógeno renovable limpio al evaluar el impacto real en la seguridad, en la operación y en el medio ambiente de mezclar dicho hidrógeno en mayores cantidades</w:t>
      </w:r>
      <w:r>
        <w:rPr>
          <w:rtl w:val="0"/>
          <w:lang w:val="es"/>
        </w:rPr>
        <w:t>.</w:t>
      </w:r>
    </w:p>
    <w:p w:rsidR="00B15D98" w:rsidRPr="007608FA" w:rsidP="00B15D98" w14:paraId="105C6F94" w14:textId="77777777">
      <w:pPr>
        <w:pStyle w:val="Heading1"/>
        <w:bidi w:val="0"/>
      </w:pPr>
      <w:r>
        <w:rPr>
          <w:rtl w:val="0"/>
          <w:lang w:val="es"/>
        </w:rPr>
        <w:t>Detalles clave del proyecto</w:t>
      </w:r>
    </w:p>
    <w:p w:rsidR="00B15D98" w:rsidRPr="00C048B5" w:rsidP="00B15D98" w14:paraId="45312BA0" w14:textId="77777777">
      <w:pPr>
        <w:pStyle w:val="ListParagraph"/>
        <w:numPr>
          <w:ilvl w:val="0"/>
          <w:numId w:val="26"/>
        </w:numPr>
        <w:bidi w:val="0"/>
        <w:rPr>
          <w:color w:val="000000" w:themeColor="text1"/>
        </w:rPr>
      </w:pPr>
      <w:r w:rsidRPr="707BEEB9">
        <w:rPr>
          <w:b/>
          <w:bCs/>
          <w:color w:val="000000" w:themeColor="text1"/>
          <w:rtl w:val="0"/>
          <w:lang w:val="es"/>
        </w:rPr>
        <w:t>Ubicación:</w:t>
      </w:r>
      <w:r w:rsidRPr="707BEEB9">
        <w:rPr>
          <w:color w:val="000000" w:themeColor="text1"/>
          <w:rtl w:val="0"/>
          <w:lang w:val="es"/>
        </w:rPr>
        <w:t xml:space="preserve"> Se suministrará gas mezclado a aproximadamente 2,000 medidores de gas que dan servicio a aproximadamente 10,000 residentes en Orange Cove, California, en el condado de Fresno. </w:t>
      </w:r>
    </w:p>
    <w:p w:rsidR="00B15D98" w:rsidRPr="007E0FDE" w:rsidP="00B15D98" w14:paraId="0A636F12" w14:textId="77777777">
      <w:pPr>
        <w:numPr>
          <w:ilvl w:val="0"/>
          <w:numId w:val="1"/>
        </w:numPr>
        <w:bidi w:val="0"/>
        <w:rPr>
          <w:color w:val="000000"/>
          <w:szCs w:val="26"/>
        </w:rPr>
      </w:pPr>
      <w:r w:rsidRPr="707BEEB9">
        <w:rPr>
          <w:b/>
          <w:bCs/>
          <w:color w:val="000000" w:themeColor="text1"/>
          <w:rtl w:val="0"/>
          <w:lang w:val="es"/>
        </w:rPr>
        <w:t>Duración:</w:t>
      </w:r>
      <w:r w:rsidRPr="707BEEB9">
        <w:rPr>
          <w:color w:val="000000" w:themeColor="text1"/>
          <w:rtl w:val="0"/>
          <w:lang w:val="es"/>
        </w:rPr>
        <w:t xml:space="preserve"> Se planea que las pruebas se realicen en cuatro fases, de las cuales, las iniciales de planificación y demostración abarcarían aproximadamente tres años para recopilar y evaluar datos a lo largo del tiempo y en condiciones de operación estacionales.</w:t>
      </w:r>
    </w:p>
    <w:p w:rsidR="00B15D98" w:rsidP="00B15D98" w14:paraId="23A8C621" w14:textId="77777777">
      <w:pPr>
        <w:pStyle w:val="ListParagraph"/>
        <w:numPr>
          <w:ilvl w:val="0"/>
          <w:numId w:val="26"/>
        </w:numPr>
        <w:bidi w:val="0"/>
        <w:rPr>
          <w:color w:val="000000" w:themeColor="text1"/>
        </w:rPr>
      </w:pPr>
      <w:r w:rsidRPr="0BF9B8F9">
        <w:rPr>
          <w:b/>
          <w:bCs/>
          <w:color w:val="000000" w:themeColor="text1"/>
          <w:rtl w:val="0"/>
          <w:lang w:val="es"/>
        </w:rPr>
        <w:t>Costo:</w:t>
      </w:r>
      <w:r w:rsidRPr="0BF9B8F9">
        <w:rPr>
          <w:color w:val="000000" w:themeColor="text1"/>
          <w:rtl w:val="0"/>
          <w:lang w:val="es"/>
        </w:rPr>
        <w:t xml:space="preserve"> Se estima que los costos del proyecto son de $64.3 millones.</w:t>
      </w:r>
    </w:p>
    <w:p w:rsidR="00B15D98" w:rsidP="00B15D98" w14:paraId="1CC5A97F" w14:textId="77777777">
      <w:pPr>
        <w:pStyle w:val="Heading1"/>
        <w:bidi w:val="0"/>
      </w:pPr>
      <w:r>
        <w:rPr>
          <w:rtl w:val="0"/>
          <w:lang w:val="es"/>
        </w:rPr>
        <w:t>Audiencias de participación pública</w:t>
      </w:r>
    </w:p>
    <w:p w:rsidR="00B15D98" w:rsidP="00B15D98" w14:paraId="660427E1" w14:textId="77777777">
      <w:pPr>
        <w:bidi w:val="0"/>
        <w:rPr>
          <w:rFonts w:eastAsiaTheme="minorEastAsia"/>
        </w:rPr>
      </w:pPr>
      <w:r w:rsidRPr="707BEEB9">
        <w:rPr>
          <w:rFonts w:eastAsiaTheme="minorEastAsia"/>
          <w:rtl w:val="0"/>
          <w:lang w:val="es"/>
        </w:rPr>
        <w:t>Las PPH se llevarán a cabo el lunes 25 de agosto de 2025 a las 2:00 p. m. y a las 6:00 p. m. en:</w:t>
      </w:r>
    </w:p>
    <w:p w:rsidR="00B15D98" w:rsidRPr="007E0FDE" w:rsidP="00B15D98" w14:paraId="487ACC2A" w14:textId="77777777">
      <w:pPr>
        <w:bidi w:val="0"/>
        <w:spacing w:after="0"/>
        <w:jc w:val="center"/>
        <w:rPr>
          <w:b/>
          <w:bCs/>
        </w:rPr>
      </w:pPr>
      <w:r w:rsidRPr="0BF9B8F9">
        <w:rPr>
          <w:b/>
          <w:bCs/>
          <w:rtl w:val="0"/>
          <w:lang w:val="es"/>
        </w:rPr>
        <w:t>Orange Cove Community Center</w:t>
      </w:r>
    </w:p>
    <w:p w:rsidR="00B15D98" w:rsidRPr="007E0FDE" w:rsidP="00B15D98" w14:paraId="29F7308A" w14:textId="77777777">
      <w:pPr>
        <w:bidi w:val="0"/>
        <w:spacing w:after="0"/>
        <w:jc w:val="center"/>
        <w:rPr>
          <w:b/>
          <w:bCs/>
        </w:rPr>
      </w:pPr>
      <w:r w:rsidRPr="0BF9B8F9">
        <w:rPr>
          <w:b/>
          <w:bCs/>
          <w:rtl w:val="0"/>
          <w:lang w:val="es"/>
        </w:rPr>
        <w:t>633 Sixth Street, Orange Cove, CA 93646</w:t>
      </w:r>
    </w:p>
    <w:p w:rsidR="00B15D98" w:rsidRPr="006D3358" w:rsidP="00B15D98" w14:paraId="0B0DEA57" w14:textId="77777777">
      <w:pPr>
        <w:bidi w:val="0"/>
        <w:rPr>
          <w:rFonts w:eastAsiaTheme="minorEastAsia"/>
        </w:rPr>
      </w:pPr>
      <w:r w:rsidRPr="0BF9B8F9">
        <w:rPr>
          <w:rFonts w:eastAsiaTheme="minorEastAsia"/>
          <w:rtl w:val="0"/>
          <w:lang w:val="es"/>
        </w:rPr>
        <w:t xml:space="preserve">Para obtener la información más actualizada sobre las PPH, visite </w:t>
      </w:r>
      <w:hyperlink r:id="rId8">
        <w:r w:rsidRPr="0BF9B8F9">
          <w:rPr>
            <w:rStyle w:val="Hyperlink"/>
            <w:rFonts w:eastAsiaTheme="minorEastAsia"/>
            <w:rtl w:val="0"/>
            <w:lang w:val="es"/>
          </w:rPr>
          <w:t>cpuc.ca.gov/pph</w:t>
        </w:r>
      </w:hyperlink>
      <w:r w:rsidRPr="0BF9B8F9">
        <w:rPr>
          <w:rFonts w:eastAsiaTheme="minorEastAsia"/>
          <w:rtl w:val="0"/>
          <w:lang w:val="es"/>
        </w:rPr>
        <w:t xml:space="preserve">.  </w:t>
      </w:r>
    </w:p>
    <w:p w:rsidR="00B15D98" w:rsidP="00B15D98" w14:paraId="2FE3B4AB" w14:textId="77777777">
      <w:pPr>
        <w:rPr>
          <w:rFonts w:eastAsiaTheme="minorEastAsia"/>
        </w:rPr>
      </w:pPr>
    </w:p>
    <w:p w:rsidR="00B15D98" w:rsidP="00B15D98" w14:paraId="4D96CC47" w14:textId="77777777">
      <w:pPr>
        <w:pStyle w:val="Heading1"/>
        <w:bidi w:val="0"/>
      </w:pPr>
      <w:r>
        <w:rPr>
          <w:rtl w:val="0"/>
          <w:lang w:val="es"/>
        </w:rPr>
        <w:t>Cómo hacer que se le escuche/Encuentre más información</w:t>
      </w:r>
    </w:p>
    <w:p w:rsidR="00B15D98" w:rsidRPr="00FE690F" w:rsidP="00B15D98" w14:paraId="2D279690" w14:textId="77777777">
      <w:pPr>
        <w:bidi w:val="0"/>
        <w:rPr>
          <w:rFonts w:eastAsiaTheme="minorEastAsia"/>
        </w:rPr>
      </w:pPr>
      <w:r w:rsidRPr="707BEEB9">
        <w:rPr>
          <w:rFonts w:eastAsiaTheme="minorEastAsia"/>
          <w:rtl w:val="0"/>
          <w:lang w:val="es"/>
        </w:rPr>
        <w:t>Este proyecto es parte de la Solicitud (A.) 22-09-006. Puede encontrar más información o enviar comentarios relacionados con esta solicitud y proyecto a través de los métodos descritos para los procedimientos de la CPUC, tales como:</w:t>
      </w:r>
    </w:p>
    <w:p w:rsidR="00B15D98" w:rsidRPr="00FE690F" w:rsidP="00B15D98" w14:paraId="62C7D2D3" w14:textId="77777777">
      <w:pPr>
        <w:numPr>
          <w:ilvl w:val="0"/>
          <w:numId w:val="26"/>
        </w:numPr>
        <w:bidi w:val="0"/>
        <w:spacing w:before="100" w:beforeAutospacing="1" w:after="100" w:afterAutospacing="1" w:line="240" w:lineRule="auto"/>
        <w:contextualSpacing/>
        <w:rPr>
          <w:color w:val="000000"/>
          <w:szCs w:val="26"/>
        </w:rPr>
      </w:pPr>
      <w:r w:rsidRPr="00FE690F">
        <w:rPr>
          <w:color w:val="000000"/>
          <w:szCs w:val="26"/>
          <w:rtl w:val="0"/>
          <w:lang w:val="es"/>
        </w:rPr>
        <w:t>Hablar en una próxima PPH en su comunidad.</w:t>
      </w:r>
    </w:p>
    <w:p w:rsidR="00B15D98" w:rsidRPr="00FE690F" w:rsidP="00B15D98" w14:paraId="26EFD18E" w14:textId="77777777">
      <w:pPr>
        <w:numPr>
          <w:ilvl w:val="0"/>
          <w:numId w:val="26"/>
        </w:numPr>
        <w:bidi w:val="0"/>
        <w:spacing w:before="100" w:beforeAutospacing="1" w:after="100" w:afterAutospacing="1" w:line="240" w:lineRule="auto"/>
        <w:contextualSpacing/>
        <w:rPr>
          <w:color w:val="000000"/>
        </w:rPr>
      </w:pPr>
      <w:r>
        <w:rPr>
          <w:rtl w:val="0"/>
          <w:lang w:val="es"/>
        </w:rPr>
        <w:t xml:space="preserve">Enviar comentarios electrónicamente a la CPUC utilizando el botón "Agregar comentario público" en la </w:t>
      </w:r>
      <w:r w:rsidRPr="707BEEB9">
        <w:rPr>
          <w:color w:val="000000" w:themeColor="text1"/>
          <w:rtl w:val="0"/>
          <w:lang w:val="es"/>
        </w:rPr>
        <w:t xml:space="preserve">Tarjeta del expediente para A.22-09-006 en: </w:t>
      </w:r>
      <w:hyperlink r:id="rId9">
        <w:r w:rsidRPr="707BEEB9">
          <w:rPr>
            <w:rStyle w:val="Hyperlink"/>
            <w:rtl w:val="0"/>
            <w:lang w:val="es"/>
          </w:rPr>
          <w:t>apps.cpuc.ca.gov/c/A2209006</w:t>
        </w:r>
      </w:hyperlink>
      <w:r w:rsidRPr="707BEEB9">
        <w:rPr>
          <w:color w:val="000000" w:themeColor="text1"/>
          <w:rtl w:val="0"/>
          <w:lang w:val="es"/>
        </w:rPr>
        <w:t>.</w:t>
      </w:r>
    </w:p>
    <w:p w:rsidR="00B15D98" w:rsidRPr="00FE690F" w:rsidP="00B15D98" w14:paraId="5946F373" w14:textId="77777777">
      <w:pPr>
        <w:numPr>
          <w:ilvl w:val="0"/>
          <w:numId w:val="26"/>
        </w:numPr>
        <w:bidi w:val="0"/>
        <w:spacing w:before="100" w:beforeAutospacing="1" w:after="100" w:afterAutospacing="1" w:line="240" w:lineRule="auto"/>
        <w:contextualSpacing/>
        <w:rPr>
          <w:color w:val="000000"/>
        </w:rPr>
      </w:pPr>
      <w:r>
        <w:rPr>
          <w:rtl w:val="0"/>
          <w:lang w:val="es"/>
        </w:rPr>
        <w:t xml:space="preserve">Suscribirse para recibir documentos relacionados con A.22-09-006 en: </w:t>
      </w:r>
      <w:hyperlink r:id="rId10">
        <w:r w:rsidRPr="707BEEB9">
          <w:rPr>
            <w:rStyle w:val="Hyperlink"/>
            <w:rtl w:val="0"/>
            <w:lang w:val="es"/>
          </w:rPr>
          <w:t>subscribecpuc.cpuc.ca.gov</w:t>
        </w:r>
      </w:hyperlink>
      <w:r>
        <w:rPr>
          <w:rtl w:val="0"/>
          <w:lang w:val="es"/>
        </w:rPr>
        <w:t xml:space="preserve">. </w:t>
      </w:r>
    </w:p>
    <w:p w:rsidR="00B15D98" w:rsidRPr="00FE690F" w:rsidP="00B15D98" w14:paraId="11F66BD4" w14:textId="77777777">
      <w:pPr>
        <w:numPr>
          <w:ilvl w:val="0"/>
          <w:numId w:val="26"/>
        </w:numPr>
        <w:bidi w:val="0"/>
        <w:spacing w:before="100" w:beforeAutospacing="1" w:after="100" w:afterAutospacing="1" w:line="240" w:lineRule="auto"/>
        <w:contextualSpacing/>
        <w:rPr>
          <w:color w:val="000000"/>
        </w:rPr>
      </w:pPr>
      <w:r w:rsidRPr="707BEEB9">
        <w:rPr>
          <w:color w:val="000000" w:themeColor="text1"/>
          <w:rtl w:val="0"/>
          <w:lang w:val="es"/>
        </w:rPr>
        <w:t xml:space="preserve">Ver la solicitud pendiente (incluida la parte de SoCalGas) en: </w:t>
      </w:r>
      <w:hyperlink r:id="rId11">
        <w:r w:rsidRPr="707BEEB9">
          <w:rPr>
            <w:rStyle w:val="Hyperlink"/>
            <w:rtl w:val="0"/>
            <w:lang w:val="es"/>
          </w:rPr>
          <w:t>docs.cpuc.ca.gov/p/A2209006</w:t>
        </w:r>
      </w:hyperlink>
      <w:r w:rsidRPr="707BEEB9">
        <w:rPr>
          <w:color w:val="000000" w:themeColor="text1"/>
          <w:rtl w:val="0"/>
          <w:lang w:val="es"/>
        </w:rPr>
        <w:t xml:space="preserve">.  </w:t>
      </w:r>
    </w:p>
    <w:p w:rsidR="00B15D98" w:rsidRPr="00FE690F" w:rsidP="00B15D98" w14:paraId="359370D1" w14:textId="77777777">
      <w:pPr>
        <w:numPr>
          <w:ilvl w:val="0"/>
          <w:numId w:val="26"/>
        </w:numPr>
        <w:bidi w:val="0"/>
        <w:spacing w:before="100" w:beforeAutospacing="1" w:after="100" w:afterAutospacing="1" w:line="240" w:lineRule="auto"/>
        <w:contextualSpacing/>
        <w:rPr>
          <w:color w:val="000000"/>
        </w:rPr>
      </w:pPr>
      <w:r w:rsidRPr="707BEEB9">
        <w:rPr>
          <w:color w:val="000000"/>
          <w:rtl w:val="0"/>
          <w:lang w:val="es"/>
        </w:rPr>
        <w:t xml:space="preserve">Comunicarse con SoCalGas si tiene preguntas sobre su proyecto en: </w:t>
      </w:r>
      <w:hyperlink r:id="rId12" w:tooltip="mailto:projectinfo@socalgas.com" w:history="1">
        <w:r w:rsidRPr="707BEEB9">
          <w:rPr>
            <w:rStyle w:val="Hyperlink"/>
            <w:color w:val="96607D"/>
            <w:rtl w:val="0"/>
            <w:lang w:val="es"/>
          </w:rPr>
          <w:t>projectinfo@socalgas.com</w:t>
        </w:r>
      </w:hyperlink>
      <w:r>
        <w:rPr>
          <w:szCs w:val="26"/>
          <w:rtl w:val="0"/>
          <w:lang w:val="es"/>
        </w:rPr>
        <w:t>.</w:t>
      </w:r>
    </w:p>
    <w:p w:rsidR="00B15D98" w:rsidRPr="00FE690F" w:rsidP="00B15D98" w14:paraId="745BE2BB" w14:textId="77777777">
      <w:pPr>
        <w:numPr>
          <w:ilvl w:val="0"/>
          <w:numId w:val="26"/>
        </w:numPr>
        <w:bidi w:val="0"/>
        <w:spacing w:before="100" w:beforeAutospacing="1" w:after="100" w:afterAutospacing="1" w:line="240" w:lineRule="auto"/>
        <w:contextualSpacing/>
        <w:rPr>
          <w:color w:val="000000"/>
        </w:rPr>
      </w:pPr>
      <w:r w:rsidRPr="707BEEB9">
        <w:rPr>
          <w:color w:val="000000" w:themeColor="text1"/>
          <w:rtl w:val="0"/>
          <w:lang w:val="es"/>
        </w:rPr>
        <w:t>Comunicarse con la Oficina del Asesor Público de la CPUC si tiene preguntas sobre los procesos de la CPUC o necesita asistencia para participar en este procedimiento:</w:t>
      </w:r>
    </w:p>
    <w:p w:rsidR="00B15D98" w:rsidRPr="00FE690F" w:rsidP="00B15D98" w14:paraId="041613DA" w14:textId="77777777">
      <w:pPr>
        <w:pStyle w:val="ListParagraph"/>
        <w:numPr>
          <w:ilvl w:val="1"/>
          <w:numId w:val="26"/>
        </w:numPr>
        <w:bidi w:val="0"/>
        <w:spacing w:before="100" w:beforeAutospacing="1" w:after="100" w:afterAutospacing="1" w:line="240" w:lineRule="auto"/>
        <w:rPr>
          <w:color w:val="000000"/>
        </w:rPr>
      </w:pPr>
      <w:r w:rsidRPr="707BEEB9">
        <w:rPr>
          <w:rtl w:val="0"/>
          <w:lang w:val="es"/>
        </w:rPr>
        <w:t xml:space="preserve">Visite su página web: </w:t>
      </w:r>
      <w:hyperlink r:id="rId13" w:history="1">
        <w:r w:rsidRPr="707BEEB9">
          <w:rPr>
            <w:rStyle w:val="Hyperlink"/>
            <w:rtl w:val="0"/>
            <w:lang w:val="es"/>
          </w:rPr>
          <w:t>https://www.cpuc.ca.gov/PAO/</w:t>
        </w:r>
      </w:hyperlink>
      <w:r w:rsidRPr="707BEEB9">
        <w:rPr>
          <w:rtl w:val="0"/>
          <w:lang w:val="es"/>
        </w:rPr>
        <w:t>.</w:t>
      </w:r>
    </w:p>
    <w:p w:rsidR="00B15D98" w:rsidRPr="00FE690F" w:rsidP="00B15D98" w14:paraId="5E0445AB" w14:textId="77777777">
      <w:pPr>
        <w:pStyle w:val="ListParagraph"/>
        <w:numPr>
          <w:ilvl w:val="1"/>
          <w:numId w:val="26"/>
        </w:numPr>
        <w:bidi w:val="0"/>
        <w:spacing w:before="100" w:beforeAutospacing="1" w:after="100" w:afterAutospacing="1" w:line="240" w:lineRule="auto"/>
        <w:rPr>
          <w:color w:val="000000"/>
        </w:rPr>
      </w:pPr>
      <w:r w:rsidRPr="707BEEB9">
        <w:rPr>
          <w:rtl w:val="0"/>
          <w:lang w:val="es"/>
        </w:rPr>
        <w:t xml:space="preserve">Correo electrónico: </w:t>
      </w:r>
      <w:hyperlink r:id="rId14" w:history="1">
        <w:r w:rsidRPr="707BEEB9">
          <w:rPr>
            <w:rStyle w:val="Hyperlink"/>
            <w:rtl w:val="0"/>
            <w:lang w:val="es"/>
          </w:rPr>
          <w:t>public.advisor@cpuc.ca.gov</w:t>
        </w:r>
      </w:hyperlink>
      <w:r w:rsidRPr="707BEEB9">
        <w:rPr>
          <w:color w:val="000000"/>
          <w:rtl w:val="0"/>
          <w:lang w:val="es"/>
        </w:rPr>
        <w:t>.</w:t>
      </w:r>
    </w:p>
    <w:p w:rsidR="00B15D98" w:rsidRPr="00FE690F" w:rsidP="00B15D98" w14:paraId="64F1A927" w14:textId="77777777">
      <w:pPr>
        <w:numPr>
          <w:ilvl w:val="1"/>
          <w:numId w:val="26"/>
        </w:numPr>
        <w:bidi w:val="0"/>
        <w:spacing w:before="100" w:beforeAutospacing="1" w:after="100" w:afterAutospacing="1" w:line="240" w:lineRule="auto"/>
        <w:contextualSpacing/>
        <w:rPr>
          <w:color w:val="000000"/>
        </w:rPr>
      </w:pPr>
      <w:r w:rsidRPr="707BEEB9">
        <w:rPr>
          <w:color w:val="000000" w:themeColor="text1"/>
          <w:rtl w:val="0"/>
          <w:lang w:val="es"/>
        </w:rPr>
        <w:t>Teléfono: 1-866-849-8390 o 1-415-703-2074.</w:t>
      </w:r>
    </w:p>
    <w:p w:rsidR="00B15D98" w:rsidRPr="00FE690F" w:rsidP="00B15D98" w14:paraId="25F33CEC" w14:textId="77777777">
      <w:pPr>
        <w:numPr>
          <w:ilvl w:val="1"/>
          <w:numId w:val="26"/>
        </w:numPr>
        <w:bidi w:val="0"/>
        <w:spacing w:before="100" w:beforeAutospacing="1" w:after="100" w:afterAutospacing="1" w:line="240" w:lineRule="auto"/>
        <w:contextualSpacing/>
        <w:rPr>
          <w:color w:val="000000"/>
        </w:rPr>
      </w:pPr>
      <w:r w:rsidRPr="707BEEB9">
        <w:rPr>
          <w:color w:val="000000" w:themeColor="text1"/>
          <w:rtl w:val="0"/>
          <w:lang w:val="es"/>
        </w:rPr>
        <w:t>Correo: Oficina del Asesor Público de la CPUC, 505 Van Ness Avenue, San Francisco, CA 94102.</w:t>
      </w:r>
    </w:p>
    <w:p w:rsidR="008F7048" w:rsidRPr="00B15D98" w:rsidP="00B15D98" w14:paraId="61CFB554" w14:textId="46BEE736">
      <w:pPr>
        <w:numPr>
          <w:ilvl w:val="1"/>
          <w:numId w:val="26"/>
        </w:numPr>
        <w:bidi w:val="0"/>
        <w:spacing w:before="100" w:beforeAutospacing="1" w:after="100" w:afterAutospacing="1" w:line="240" w:lineRule="auto"/>
        <w:contextualSpacing/>
        <w:rPr>
          <w:color w:val="000000"/>
        </w:rPr>
      </w:pPr>
      <w:r w:rsidRPr="707BEEB9">
        <w:rPr>
          <w:color w:val="000000" w:themeColor="text1"/>
          <w:rtl w:val="0"/>
          <w:lang w:val="es"/>
        </w:rPr>
        <w:t>Por favor, haga referencia a “A.22-09-006” en cualquier comunicación que tenga con la CPUC respecto a este asunto.</w:t>
      </w:r>
    </w:p>
    <w:sectPr w:rsidSect="00C622CB">
      <w:headerReference w:type="default" r:id="rId15"/>
      <w:footerReference w:type="even" r:id="rId16"/>
      <w:footerReference w:type="default" r:id="rId17"/>
      <w:headerReference w:type="first" r:id="rId18"/>
      <w:footerReference w:type="first" r:id="rId19"/>
      <w:pgSz w:w="12240" w:h="15840"/>
      <w:pgMar w:top="1440" w:right="720" w:bottom="1440" w:left="720" w:header="1728"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ADF" w:rsidP="00D86CB3" w14:paraId="0BD54AA3"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522539" w:rsidP="00D86CB3" w14:paraId="109D13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913352427"/>
      <w:docPartObj>
        <w:docPartGallery w:val="Page Numbers (Bottom of Page)"/>
        <w:docPartUnique/>
      </w:docPartObj>
    </w:sdtPr>
    <w:sdtEndPr>
      <w:rPr>
        <w:rStyle w:val="PageNumber"/>
      </w:rPr>
    </w:sdtEndPr>
    <w:sdtContent>
      <w:p w:rsidR="00104ADF" w:rsidP="00D86CB3" w14:paraId="75F0C0AE"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rsidR="008F1AE4" w:rsidP="00D86CB3" w14:paraId="301CCE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393C4BDF" w14:textId="22F93007">
    <w:pPr>
      <w:pStyle w:val="Foot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-361950</wp:posOffset>
          </wp:positionV>
          <wp:extent cx="7770600" cy="906780"/>
          <wp:effectExtent l="0" t="0" r="1905" b="7620"/>
          <wp:wrapNone/>
          <wp:docPr id="1" name="Picture 1" descr="Protegiendo a California desde 1911&#10;La CPUC regula las empresas privadas de electricidad, gas natural, telecomunicaciones, agua, ferrocarril, transporte ferroviario y transporte de pas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tegiendo a California desde 1911&#10;La CPUC regula las empresas privadas de electricidad, gas natural, telecomunicaciones, agua, ferrocarril, transporte ferroviario y transporte de pasajero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0600" cy="90678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D5" w:rsidRPr="00FD7142" w:rsidP="00D86CB3" w14:paraId="1B344E5B" w14:textId="4CB43A22">
    <w:pPr>
      <w:pStyle w:val="Header"/>
    </w:pPr>
    <w:r>
      <w:rPr>
        <w:noProof/>
      </w:rPr>
      <w:drawing>
        <wp:anchor distT="0" distB="0" distL="114300" distR="114300" simplePos="0" relativeHeight="251659264" behindDoc="1" locked="0" layoutInCell="1" allowOverlap="1">
          <wp:simplePos x="0" y="0"/>
          <wp:positionH relativeFrom="column">
            <wp:posOffset>-314325</wp:posOffset>
          </wp:positionH>
          <wp:positionV relativeFrom="paragraph">
            <wp:posOffset>-1096010</wp:posOffset>
          </wp:positionV>
          <wp:extent cx="6858000" cy="1033780"/>
          <wp:effectExtent l="0" t="0" r="0" b="0"/>
          <wp:wrapNone/>
          <wp:docPr id="899133677" name="Picture 1"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33677" name="Picture 1"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0" cy="1033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2ED6E4D8" w14:textId="5D2610F2">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-1096010</wp:posOffset>
          </wp:positionV>
          <wp:extent cx="7772400" cy="1171528"/>
          <wp:effectExtent l="0" t="0" r="0" b="0"/>
          <wp:wrapNone/>
          <wp:docPr id="4" name="Picture 4"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7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482478"/>
    <w:lvl w:ilvl="0">
      <w:start w:val="1"/>
      <w:numFmt w:val="decimal"/>
      <w:lvlText w:val="%1."/>
      <w:lvlJc w:val="left"/>
      <w:pPr>
        <w:tabs>
          <w:tab w:val="num" w:pos="1800"/>
        </w:tabs>
        <w:ind w:left="1800" w:hanging="360"/>
      </w:pPr>
    </w:lvl>
  </w:abstractNum>
  <w:abstractNum w:abstractNumId="1">
    <w:nsid w:val="FFFFFF7D"/>
    <w:multiLevelType w:val="singleLevel"/>
    <w:tmpl w:val="693E08D6"/>
    <w:lvl w:ilvl="0">
      <w:start w:val="1"/>
      <w:numFmt w:val="decimal"/>
      <w:lvlText w:val="%1."/>
      <w:lvlJc w:val="left"/>
      <w:pPr>
        <w:tabs>
          <w:tab w:val="num" w:pos="1440"/>
        </w:tabs>
        <w:ind w:left="1440" w:hanging="360"/>
      </w:pPr>
    </w:lvl>
  </w:abstractNum>
  <w:abstractNum w:abstractNumId="2">
    <w:nsid w:val="FFFFFF7E"/>
    <w:multiLevelType w:val="singleLevel"/>
    <w:tmpl w:val="67A469DA"/>
    <w:lvl w:ilvl="0">
      <w:start w:val="1"/>
      <w:numFmt w:val="decimal"/>
      <w:lvlText w:val="%1."/>
      <w:lvlJc w:val="left"/>
      <w:pPr>
        <w:tabs>
          <w:tab w:val="num" w:pos="1080"/>
        </w:tabs>
        <w:ind w:left="1080" w:hanging="360"/>
      </w:pPr>
    </w:lvl>
  </w:abstractNum>
  <w:abstractNum w:abstractNumId="3">
    <w:nsid w:val="FFFFFF7F"/>
    <w:multiLevelType w:val="singleLevel"/>
    <w:tmpl w:val="3E8AA1BC"/>
    <w:lvl w:ilvl="0">
      <w:start w:val="1"/>
      <w:numFmt w:val="decimal"/>
      <w:lvlText w:val="%1."/>
      <w:lvlJc w:val="left"/>
      <w:pPr>
        <w:tabs>
          <w:tab w:val="num" w:pos="720"/>
        </w:tabs>
        <w:ind w:left="720" w:hanging="360"/>
      </w:pPr>
    </w:lvl>
  </w:abstractNum>
  <w:abstractNum w:abstractNumId="4">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E0071A"/>
    <w:lvl w:ilvl="0">
      <w:start w:val="1"/>
      <w:numFmt w:val="decimal"/>
      <w:lvlText w:val="%1."/>
      <w:lvlJc w:val="left"/>
      <w:pPr>
        <w:tabs>
          <w:tab w:val="num" w:pos="360"/>
        </w:tabs>
        <w:ind w:left="360" w:hanging="360"/>
      </w:pPr>
    </w:lvl>
  </w:abstractNum>
  <w:abstractNum w:abstractNumId="9">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E5D03"/>
    <w:multiLevelType w:val="hybridMultilevel"/>
    <w:tmpl w:val="2688B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1424B9"/>
    <w:multiLevelType w:val="hybridMultilevel"/>
    <w:tmpl w:val="8182D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A2C1F6"/>
    <w:multiLevelType w:val="hybridMultilevel"/>
    <w:tmpl w:val="F2069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B387B2E"/>
    <w:multiLevelType w:val="hybridMultilevel"/>
    <w:tmpl w:val="A9C0A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2D11B5"/>
    <w:multiLevelType w:val="hybridMultilevel"/>
    <w:tmpl w:val="EF702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F27B92"/>
    <w:multiLevelType w:val="multilevel"/>
    <w:tmpl w:val="C9A44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EB2FC65"/>
    <w:multiLevelType w:val="hybridMultilevel"/>
    <w:tmpl w:val="DE948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8D71D26"/>
    <w:multiLevelType w:val="multilevel"/>
    <w:tmpl w:val="B9BE31D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13766B2"/>
    <w:multiLevelType w:val="hybridMultilevel"/>
    <w:tmpl w:val="0A2A3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74B53D"/>
    <w:multiLevelType w:val="hybridMultilevel"/>
    <w:tmpl w:val="54A48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9EE58F8"/>
    <w:multiLevelType w:val="hybridMultilevel"/>
    <w:tmpl w:val="0F082AD2"/>
    <w:lvl w:ilvl="0">
      <w:start w:val="1"/>
      <w:numFmt w:val="bullet"/>
      <w:lvlText w:val="•"/>
      <w:lvlJc w:val="left"/>
      <w:pPr>
        <w:ind w:left="1080" w:hanging="720"/>
      </w:pPr>
      <w:rPr>
        <w:rFonts w:ascii="Century Gothic" w:hAnsi="Century Gothic"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9A4769"/>
    <w:multiLevelType w:val="hybridMultilevel"/>
    <w:tmpl w:val="824E47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F6E2E36"/>
    <w:multiLevelType w:val="hybridMultilevel"/>
    <w:tmpl w:val="1C58B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C956C1"/>
    <w:multiLevelType w:val="hybridMultilevel"/>
    <w:tmpl w:val="B6EE4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1347532"/>
    <w:multiLevelType w:val="hybridMultilevel"/>
    <w:tmpl w:val="237E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7EF4C6E"/>
    <w:multiLevelType w:val="hybridMultilevel"/>
    <w:tmpl w:val="B6B48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77596855">
    <w:abstractNumId w:val="17"/>
  </w:num>
  <w:num w:numId="2" w16cid:durableId="1963489873">
    <w:abstractNumId w:val="24"/>
  </w:num>
  <w:num w:numId="3" w16cid:durableId="727533229">
    <w:abstractNumId w:val="23"/>
  </w:num>
  <w:num w:numId="4" w16cid:durableId="847721097">
    <w:abstractNumId w:val="11"/>
  </w:num>
  <w:num w:numId="5" w16cid:durableId="91902407">
    <w:abstractNumId w:val="19"/>
  </w:num>
  <w:num w:numId="6" w16cid:durableId="187371492">
    <w:abstractNumId w:val="12"/>
  </w:num>
  <w:num w:numId="7" w16cid:durableId="1977835802">
    <w:abstractNumId w:val="16"/>
  </w:num>
  <w:num w:numId="8" w16cid:durableId="2106725098">
    <w:abstractNumId w:val="18"/>
  </w:num>
  <w:num w:numId="9" w16cid:durableId="239484499">
    <w:abstractNumId w:val="0"/>
  </w:num>
  <w:num w:numId="10" w16cid:durableId="1138955550">
    <w:abstractNumId w:val="1"/>
  </w:num>
  <w:num w:numId="11" w16cid:durableId="553271551">
    <w:abstractNumId w:val="2"/>
  </w:num>
  <w:num w:numId="12" w16cid:durableId="938296228">
    <w:abstractNumId w:val="3"/>
  </w:num>
  <w:num w:numId="13" w16cid:durableId="1208836264">
    <w:abstractNumId w:val="8"/>
  </w:num>
  <w:num w:numId="14" w16cid:durableId="674461507">
    <w:abstractNumId w:val="4"/>
  </w:num>
  <w:num w:numId="15" w16cid:durableId="1798453632">
    <w:abstractNumId w:val="5"/>
  </w:num>
  <w:num w:numId="16" w16cid:durableId="1791127216">
    <w:abstractNumId w:val="6"/>
  </w:num>
  <w:num w:numId="17" w16cid:durableId="917665902">
    <w:abstractNumId w:val="7"/>
  </w:num>
  <w:num w:numId="18" w16cid:durableId="2041591619">
    <w:abstractNumId w:val="9"/>
  </w:num>
  <w:num w:numId="19" w16cid:durableId="1280457540">
    <w:abstractNumId w:val="20"/>
  </w:num>
  <w:num w:numId="20" w16cid:durableId="1096291072">
    <w:abstractNumId w:val="10"/>
  </w:num>
  <w:num w:numId="21" w16cid:durableId="207882079">
    <w:abstractNumId w:val="21"/>
  </w:num>
  <w:num w:numId="22" w16cid:durableId="937371066">
    <w:abstractNumId w:val="14"/>
  </w:num>
  <w:num w:numId="23" w16cid:durableId="499734783">
    <w:abstractNumId w:val="22"/>
  </w:num>
  <w:num w:numId="24" w16cid:durableId="1382048253">
    <w:abstractNumId w:val="25"/>
  </w:num>
  <w:num w:numId="25" w16cid:durableId="1734692269">
    <w:abstractNumId w:val="13"/>
  </w:num>
  <w:num w:numId="26" w16cid:durableId="742987053">
    <w:abstractNumId w:val="26"/>
  </w:num>
  <w:num w:numId="27" w16cid:durableId="235089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32C5"/>
    <w:rsid w:val="0001599E"/>
    <w:rsid w:val="00015EB1"/>
    <w:rsid w:val="00016138"/>
    <w:rsid w:val="00022CC6"/>
    <w:rsid w:val="00022FA6"/>
    <w:rsid w:val="00023B37"/>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0FC4"/>
    <w:rsid w:val="000E2427"/>
    <w:rsid w:val="000E2DCE"/>
    <w:rsid w:val="000E340D"/>
    <w:rsid w:val="000E4002"/>
    <w:rsid w:val="000E4362"/>
    <w:rsid w:val="000E4741"/>
    <w:rsid w:val="000E7366"/>
    <w:rsid w:val="000F18BA"/>
    <w:rsid w:val="000F1FA1"/>
    <w:rsid w:val="000F3E51"/>
    <w:rsid w:val="000F7321"/>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2C42"/>
    <w:rsid w:val="001333B2"/>
    <w:rsid w:val="001364C9"/>
    <w:rsid w:val="0014074C"/>
    <w:rsid w:val="001417E9"/>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5562"/>
    <w:rsid w:val="001956A3"/>
    <w:rsid w:val="001B3539"/>
    <w:rsid w:val="001B44C3"/>
    <w:rsid w:val="001B4EB8"/>
    <w:rsid w:val="001B7D34"/>
    <w:rsid w:val="001C2F40"/>
    <w:rsid w:val="001C6335"/>
    <w:rsid w:val="001C7C22"/>
    <w:rsid w:val="001D49D7"/>
    <w:rsid w:val="001D7F90"/>
    <w:rsid w:val="001E2F92"/>
    <w:rsid w:val="001E57AD"/>
    <w:rsid w:val="001F19E0"/>
    <w:rsid w:val="001F1E2E"/>
    <w:rsid w:val="001F20F8"/>
    <w:rsid w:val="001F22A1"/>
    <w:rsid w:val="001F23FE"/>
    <w:rsid w:val="001F24AF"/>
    <w:rsid w:val="001F2598"/>
    <w:rsid w:val="001F34FA"/>
    <w:rsid w:val="001F6954"/>
    <w:rsid w:val="0020069A"/>
    <w:rsid w:val="00203AD0"/>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13"/>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A35"/>
    <w:rsid w:val="002A3E45"/>
    <w:rsid w:val="002A5447"/>
    <w:rsid w:val="002A5ABD"/>
    <w:rsid w:val="002B0E44"/>
    <w:rsid w:val="002B756A"/>
    <w:rsid w:val="002C1337"/>
    <w:rsid w:val="002C1A01"/>
    <w:rsid w:val="002C5E88"/>
    <w:rsid w:val="002D09FF"/>
    <w:rsid w:val="002D2B51"/>
    <w:rsid w:val="002D6634"/>
    <w:rsid w:val="002D7159"/>
    <w:rsid w:val="002D727E"/>
    <w:rsid w:val="002E068D"/>
    <w:rsid w:val="002E0A57"/>
    <w:rsid w:val="002E19D5"/>
    <w:rsid w:val="002E4BCD"/>
    <w:rsid w:val="002E4C60"/>
    <w:rsid w:val="002E6906"/>
    <w:rsid w:val="002F00BB"/>
    <w:rsid w:val="002F25ED"/>
    <w:rsid w:val="002F2743"/>
    <w:rsid w:val="002F347D"/>
    <w:rsid w:val="00300068"/>
    <w:rsid w:val="00300712"/>
    <w:rsid w:val="003022D5"/>
    <w:rsid w:val="003024B9"/>
    <w:rsid w:val="00302DF7"/>
    <w:rsid w:val="003037C4"/>
    <w:rsid w:val="00306F2D"/>
    <w:rsid w:val="00314101"/>
    <w:rsid w:val="0031496B"/>
    <w:rsid w:val="00316754"/>
    <w:rsid w:val="003177B6"/>
    <w:rsid w:val="00321078"/>
    <w:rsid w:val="00321927"/>
    <w:rsid w:val="003265C3"/>
    <w:rsid w:val="003270E2"/>
    <w:rsid w:val="00330954"/>
    <w:rsid w:val="00337746"/>
    <w:rsid w:val="00337BB4"/>
    <w:rsid w:val="00345347"/>
    <w:rsid w:val="00347FC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56DF"/>
    <w:rsid w:val="00386868"/>
    <w:rsid w:val="00387533"/>
    <w:rsid w:val="00387922"/>
    <w:rsid w:val="003900F8"/>
    <w:rsid w:val="003914A6"/>
    <w:rsid w:val="003927B2"/>
    <w:rsid w:val="00394DF2"/>
    <w:rsid w:val="00397141"/>
    <w:rsid w:val="003A072B"/>
    <w:rsid w:val="003B16A2"/>
    <w:rsid w:val="003B31E3"/>
    <w:rsid w:val="003B64E9"/>
    <w:rsid w:val="003B7561"/>
    <w:rsid w:val="003C088E"/>
    <w:rsid w:val="003C262F"/>
    <w:rsid w:val="003C3CD9"/>
    <w:rsid w:val="003C7085"/>
    <w:rsid w:val="003D11AD"/>
    <w:rsid w:val="003D47DC"/>
    <w:rsid w:val="003D5961"/>
    <w:rsid w:val="003D70B1"/>
    <w:rsid w:val="003E05AF"/>
    <w:rsid w:val="003E50DB"/>
    <w:rsid w:val="003E5569"/>
    <w:rsid w:val="003E630D"/>
    <w:rsid w:val="003E664C"/>
    <w:rsid w:val="003E6B6D"/>
    <w:rsid w:val="003E73DE"/>
    <w:rsid w:val="003F30E2"/>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ED2"/>
    <w:rsid w:val="0043287A"/>
    <w:rsid w:val="00434D62"/>
    <w:rsid w:val="0044211B"/>
    <w:rsid w:val="00445CDA"/>
    <w:rsid w:val="004465B9"/>
    <w:rsid w:val="00451E2A"/>
    <w:rsid w:val="0045403B"/>
    <w:rsid w:val="00455886"/>
    <w:rsid w:val="00455893"/>
    <w:rsid w:val="00456C5C"/>
    <w:rsid w:val="00457969"/>
    <w:rsid w:val="004646FD"/>
    <w:rsid w:val="00465289"/>
    <w:rsid w:val="0046723B"/>
    <w:rsid w:val="004678CA"/>
    <w:rsid w:val="00467904"/>
    <w:rsid w:val="004705F4"/>
    <w:rsid w:val="00476407"/>
    <w:rsid w:val="00477352"/>
    <w:rsid w:val="004779B8"/>
    <w:rsid w:val="00481A6E"/>
    <w:rsid w:val="00485159"/>
    <w:rsid w:val="00487EC8"/>
    <w:rsid w:val="00491772"/>
    <w:rsid w:val="00492D3B"/>
    <w:rsid w:val="004942C4"/>
    <w:rsid w:val="004A215E"/>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336"/>
    <w:rsid w:val="00516C84"/>
    <w:rsid w:val="00517BE6"/>
    <w:rsid w:val="00520B09"/>
    <w:rsid w:val="00521077"/>
    <w:rsid w:val="00522539"/>
    <w:rsid w:val="0052317D"/>
    <w:rsid w:val="0052447F"/>
    <w:rsid w:val="00526733"/>
    <w:rsid w:val="0052757D"/>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87B81"/>
    <w:rsid w:val="005911B6"/>
    <w:rsid w:val="00592653"/>
    <w:rsid w:val="0059361D"/>
    <w:rsid w:val="00596D75"/>
    <w:rsid w:val="00597AE2"/>
    <w:rsid w:val="005A2FC9"/>
    <w:rsid w:val="005A5712"/>
    <w:rsid w:val="005B009D"/>
    <w:rsid w:val="005B5632"/>
    <w:rsid w:val="005B5BD2"/>
    <w:rsid w:val="005B7A52"/>
    <w:rsid w:val="005B7F14"/>
    <w:rsid w:val="005C0898"/>
    <w:rsid w:val="005C7867"/>
    <w:rsid w:val="005D3C30"/>
    <w:rsid w:val="005D4257"/>
    <w:rsid w:val="005D4597"/>
    <w:rsid w:val="005D5A79"/>
    <w:rsid w:val="005F1657"/>
    <w:rsid w:val="005F2BAD"/>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0C55"/>
    <w:rsid w:val="0064240D"/>
    <w:rsid w:val="006470F2"/>
    <w:rsid w:val="00650353"/>
    <w:rsid w:val="00652EC6"/>
    <w:rsid w:val="006533F2"/>
    <w:rsid w:val="00655B5C"/>
    <w:rsid w:val="0065768B"/>
    <w:rsid w:val="00662DD1"/>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60F"/>
    <w:rsid w:val="0073689C"/>
    <w:rsid w:val="00737887"/>
    <w:rsid w:val="00742F2B"/>
    <w:rsid w:val="007453C5"/>
    <w:rsid w:val="00745BFA"/>
    <w:rsid w:val="00746F0A"/>
    <w:rsid w:val="00751FC1"/>
    <w:rsid w:val="00753C0D"/>
    <w:rsid w:val="007608FA"/>
    <w:rsid w:val="00761B7E"/>
    <w:rsid w:val="00761F70"/>
    <w:rsid w:val="00764CBE"/>
    <w:rsid w:val="00770A78"/>
    <w:rsid w:val="0077505E"/>
    <w:rsid w:val="0077546D"/>
    <w:rsid w:val="00777FDB"/>
    <w:rsid w:val="00781A3E"/>
    <w:rsid w:val="0078301B"/>
    <w:rsid w:val="00783256"/>
    <w:rsid w:val="00785672"/>
    <w:rsid w:val="00786326"/>
    <w:rsid w:val="0079029A"/>
    <w:rsid w:val="00792237"/>
    <w:rsid w:val="0079297F"/>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0FDE"/>
    <w:rsid w:val="007E14E3"/>
    <w:rsid w:val="007E3081"/>
    <w:rsid w:val="007E3330"/>
    <w:rsid w:val="007E334D"/>
    <w:rsid w:val="007E3425"/>
    <w:rsid w:val="007E3784"/>
    <w:rsid w:val="007E4746"/>
    <w:rsid w:val="007F0880"/>
    <w:rsid w:val="007F40BB"/>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3C67"/>
    <w:rsid w:val="00855CEE"/>
    <w:rsid w:val="008766FB"/>
    <w:rsid w:val="00885457"/>
    <w:rsid w:val="008874EF"/>
    <w:rsid w:val="00892C66"/>
    <w:rsid w:val="008937C1"/>
    <w:rsid w:val="00897329"/>
    <w:rsid w:val="008A1AC5"/>
    <w:rsid w:val="008A28BD"/>
    <w:rsid w:val="008A3942"/>
    <w:rsid w:val="008A4699"/>
    <w:rsid w:val="008B1718"/>
    <w:rsid w:val="008B3810"/>
    <w:rsid w:val="008B7E8E"/>
    <w:rsid w:val="008C0DEF"/>
    <w:rsid w:val="008C1443"/>
    <w:rsid w:val="008C6437"/>
    <w:rsid w:val="008D0134"/>
    <w:rsid w:val="008D05D9"/>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306E"/>
    <w:rsid w:val="00907A35"/>
    <w:rsid w:val="0092175C"/>
    <w:rsid w:val="0092246E"/>
    <w:rsid w:val="00922B9F"/>
    <w:rsid w:val="00922BD6"/>
    <w:rsid w:val="00923009"/>
    <w:rsid w:val="00924E0C"/>
    <w:rsid w:val="009257EF"/>
    <w:rsid w:val="009275C9"/>
    <w:rsid w:val="0093026A"/>
    <w:rsid w:val="00932DFE"/>
    <w:rsid w:val="00934A9C"/>
    <w:rsid w:val="009418C7"/>
    <w:rsid w:val="009460FE"/>
    <w:rsid w:val="00947A13"/>
    <w:rsid w:val="00955216"/>
    <w:rsid w:val="009611E9"/>
    <w:rsid w:val="0096748D"/>
    <w:rsid w:val="009677B1"/>
    <w:rsid w:val="009716C2"/>
    <w:rsid w:val="00971F45"/>
    <w:rsid w:val="00973282"/>
    <w:rsid w:val="00975218"/>
    <w:rsid w:val="00981117"/>
    <w:rsid w:val="00984DBD"/>
    <w:rsid w:val="00992893"/>
    <w:rsid w:val="00992FAF"/>
    <w:rsid w:val="00994587"/>
    <w:rsid w:val="00996C30"/>
    <w:rsid w:val="00996D8C"/>
    <w:rsid w:val="009A19BF"/>
    <w:rsid w:val="009A3701"/>
    <w:rsid w:val="009A5FC6"/>
    <w:rsid w:val="009B440B"/>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EF0"/>
    <w:rsid w:val="00A32555"/>
    <w:rsid w:val="00A33B3B"/>
    <w:rsid w:val="00A34C80"/>
    <w:rsid w:val="00A374AF"/>
    <w:rsid w:val="00A37EED"/>
    <w:rsid w:val="00A4396C"/>
    <w:rsid w:val="00A53821"/>
    <w:rsid w:val="00A55799"/>
    <w:rsid w:val="00A579D7"/>
    <w:rsid w:val="00A62297"/>
    <w:rsid w:val="00A62E1E"/>
    <w:rsid w:val="00A706BD"/>
    <w:rsid w:val="00A759A0"/>
    <w:rsid w:val="00A765FF"/>
    <w:rsid w:val="00A80CF0"/>
    <w:rsid w:val="00A81E54"/>
    <w:rsid w:val="00A83FA8"/>
    <w:rsid w:val="00A85BDE"/>
    <w:rsid w:val="00A91900"/>
    <w:rsid w:val="00A919F1"/>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1AA8"/>
    <w:rsid w:val="00AE2654"/>
    <w:rsid w:val="00AE2DBE"/>
    <w:rsid w:val="00AE321A"/>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5D98"/>
    <w:rsid w:val="00B167BE"/>
    <w:rsid w:val="00B21799"/>
    <w:rsid w:val="00B30B6F"/>
    <w:rsid w:val="00B314A9"/>
    <w:rsid w:val="00B328E5"/>
    <w:rsid w:val="00B411BF"/>
    <w:rsid w:val="00B41484"/>
    <w:rsid w:val="00B52447"/>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910BC"/>
    <w:rsid w:val="00B93805"/>
    <w:rsid w:val="00B95732"/>
    <w:rsid w:val="00B9592A"/>
    <w:rsid w:val="00B97A94"/>
    <w:rsid w:val="00BA31E1"/>
    <w:rsid w:val="00BA7CA0"/>
    <w:rsid w:val="00BB2FE2"/>
    <w:rsid w:val="00BB5C22"/>
    <w:rsid w:val="00BC2E99"/>
    <w:rsid w:val="00BC61C6"/>
    <w:rsid w:val="00BC7349"/>
    <w:rsid w:val="00BD06CE"/>
    <w:rsid w:val="00BD0C3A"/>
    <w:rsid w:val="00BD0C93"/>
    <w:rsid w:val="00BD0EA5"/>
    <w:rsid w:val="00BD1C59"/>
    <w:rsid w:val="00BD2019"/>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48B5"/>
    <w:rsid w:val="00C07647"/>
    <w:rsid w:val="00C1141A"/>
    <w:rsid w:val="00C12B92"/>
    <w:rsid w:val="00C145F3"/>
    <w:rsid w:val="00C15724"/>
    <w:rsid w:val="00C17876"/>
    <w:rsid w:val="00C20196"/>
    <w:rsid w:val="00C2584C"/>
    <w:rsid w:val="00C36F12"/>
    <w:rsid w:val="00C37CA1"/>
    <w:rsid w:val="00C40024"/>
    <w:rsid w:val="00C417CC"/>
    <w:rsid w:val="00C43954"/>
    <w:rsid w:val="00C4566B"/>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E92"/>
    <w:rsid w:val="00CE0693"/>
    <w:rsid w:val="00CE1667"/>
    <w:rsid w:val="00CE2074"/>
    <w:rsid w:val="00CE27A1"/>
    <w:rsid w:val="00CE2F14"/>
    <w:rsid w:val="00CE3C46"/>
    <w:rsid w:val="00CF0A6E"/>
    <w:rsid w:val="00CF1045"/>
    <w:rsid w:val="00CF54BF"/>
    <w:rsid w:val="00CF6A08"/>
    <w:rsid w:val="00CF7D24"/>
    <w:rsid w:val="00D04383"/>
    <w:rsid w:val="00D05EFD"/>
    <w:rsid w:val="00D07120"/>
    <w:rsid w:val="00D1112C"/>
    <w:rsid w:val="00D11581"/>
    <w:rsid w:val="00D175D3"/>
    <w:rsid w:val="00D21315"/>
    <w:rsid w:val="00D33A75"/>
    <w:rsid w:val="00D34A8B"/>
    <w:rsid w:val="00D34F90"/>
    <w:rsid w:val="00D35A35"/>
    <w:rsid w:val="00D370B3"/>
    <w:rsid w:val="00D40958"/>
    <w:rsid w:val="00D41959"/>
    <w:rsid w:val="00D42921"/>
    <w:rsid w:val="00D45171"/>
    <w:rsid w:val="00D514B4"/>
    <w:rsid w:val="00D52E48"/>
    <w:rsid w:val="00D53B98"/>
    <w:rsid w:val="00D56DB9"/>
    <w:rsid w:val="00D6125E"/>
    <w:rsid w:val="00D620B1"/>
    <w:rsid w:val="00D638F6"/>
    <w:rsid w:val="00D64326"/>
    <w:rsid w:val="00D64CCE"/>
    <w:rsid w:val="00D66590"/>
    <w:rsid w:val="00D673B2"/>
    <w:rsid w:val="00D678BE"/>
    <w:rsid w:val="00D67C13"/>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2DCC"/>
    <w:rsid w:val="00DC6D7D"/>
    <w:rsid w:val="00DD0A62"/>
    <w:rsid w:val="00DD3000"/>
    <w:rsid w:val="00DD3423"/>
    <w:rsid w:val="00DD512A"/>
    <w:rsid w:val="00DE35F2"/>
    <w:rsid w:val="00DE4786"/>
    <w:rsid w:val="00DE580C"/>
    <w:rsid w:val="00DF2A4C"/>
    <w:rsid w:val="00DF2AF8"/>
    <w:rsid w:val="00DF32DC"/>
    <w:rsid w:val="00DF46AB"/>
    <w:rsid w:val="00DF5C11"/>
    <w:rsid w:val="00DF7A82"/>
    <w:rsid w:val="00E0069C"/>
    <w:rsid w:val="00E01200"/>
    <w:rsid w:val="00E02969"/>
    <w:rsid w:val="00E04D5C"/>
    <w:rsid w:val="00E07292"/>
    <w:rsid w:val="00E11441"/>
    <w:rsid w:val="00E12FFB"/>
    <w:rsid w:val="00E20661"/>
    <w:rsid w:val="00E226DE"/>
    <w:rsid w:val="00E26458"/>
    <w:rsid w:val="00E26CE4"/>
    <w:rsid w:val="00E30386"/>
    <w:rsid w:val="00E30AC8"/>
    <w:rsid w:val="00E312BA"/>
    <w:rsid w:val="00E36B0E"/>
    <w:rsid w:val="00E37597"/>
    <w:rsid w:val="00E42578"/>
    <w:rsid w:val="00E4279B"/>
    <w:rsid w:val="00E471AC"/>
    <w:rsid w:val="00E473D4"/>
    <w:rsid w:val="00E47632"/>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EF7A33"/>
    <w:rsid w:val="00F00BD3"/>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59E7"/>
    <w:rsid w:val="00F56570"/>
    <w:rsid w:val="00F568CF"/>
    <w:rsid w:val="00F5716A"/>
    <w:rsid w:val="00F66D8A"/>
    <w:rsid w:val="00F66D91"/>
    <w:rsid w:val="00F670C6"/>
    <w:rsid w:val="00F67EF9"/>
    <w:rsid w:val="00F707C5"/>
    <w:rsid w:val="00F73D1C"/>
    <w:rsid w:val="00F74579"/>
    <w:rsid w:val="00F75A7A"/>
    <w:rsid w:val="00F86F24"/>
    <w:rsid w:val="00F90BB9"/>
    <w:rsid w:val="00F976E8"/>
    <w:rsid w:val="00FA103E"/>
    <w:rsid w:val="00FA26FD"/>
    <w:rsid w:val="00FA3905"/>
    <w:rsid w:val="00FA599C"/>
    <w:rsid w:val="00FB186F"/>
    <w:rsid w:val="00FB4AFE"/>
    <w:rsid w:val="00FB7D8F"/>
    <w:rsid w:val="00FC0C5B"/>
    <w:rsid w:val="00FC2918"/>
    <w:rsid w:val="00FC30EE"/>
    <w:rsid w:val="00FC4C2E"/>
    <w:rsid w:val="00FC6AE9"/>
    <w:rsid w:val="00FC6F0A"/>
    <w:rsid w:val="00FD3B4C"/>
    <w:rsid w:val="00FD7142"/>
    <w:rsid w:val="00FE033F"/>
    <w:rsid w:val="00FE28B7"/>
    <w:rsid w:val="00FE6091"/>
    <w:rsid w:val="00FE690F"/>
    <w:rsid w:val="00FE7789"/>
    <w:rsid w:val="00FE7D6F"/>
    <w:rsid w:val="00FF1830"/>
    <w:rsid w:val="00FF39F5"/>
    <w:rsid w:val="00FF3A4B"/>
    <w:rsid w:val="00FF6FE9"/>
    <w:rsid w:val="01944855"/>
    <w:rsid w:val="02DAE0CE"/>
    <w:rsid w:val="0459304E"/>
    <w:rsid w:val="0A63C98E"/>
    <w:rsid w:val="0BF9B8F9"/>
    <w:rsid w:val="0D89D107"/>
    <w:rsid w:val="0E6826A0"/>
    <w:rsid w:val="0EF69F97"/>
    <w:rsid w:val="11D6192A"/>
    <w:rsid w:val="13202666"/>
    <w:rsid w:val="149D8818"/>
    <w:rsid w:val="16228B28"/>
    <w:rsid w:val="18D28CE9"/>
    <w:rsid w:val="1C4A3A81"/>
    <w:rsid w:val="1C8ABBB4"/>
    <w:rsid w:val="1D6C3576"/>
    <w:rsid w:val="20AE2376"/>
    <w:rsid w:val="25B2711A"/>
    <w:rsid w:val="28AB5BD9"/>
    <w:rsid w:val="30BFBAC3"/>
    <w:rsid w:val="31AB78A9"/>
    <w:rsid w:val="31C3886F"/>
    <w:rsid w:val="38F5464A"/>
    <w:rsid w:val="39CBD3AC"/>
    <w:rsid w:val="3A37BBCB"/>
    <w:rsid w:val="3A665D9A"/>
    <w:rsid w:val="3BF75590"/>
    <w:rsid w:val="3E9A2064"/>
    <w:rsid w:val="3F88CD0A"/>
    <w:rsid w:val="3F94AA20"/>
    <w:rsid w:val="42E5ACAB"/>
    <w:rsid w:val="43AE00C0"/>
    <w:rsid w:val="46F13548"/>
    <w:rsid w:val="4C77C9C1"/>
    <w:rsid w:val="4CC52A19"/>
    <w:rsid w:val="4D4BEA5E"/>
    <w:rsid w:val="4F9EF4DC"/>
    <w:rsid w:val="50570F84"/>
    <w:rsid w:val="512A8B30"/>
    <w:rsid w:val="5527D4AE"/>
    <w:rsid w:val="56380EAC"/>
    <w:rsid w:val="5796178C"/>
    <w:rsid w:val="58179414"/>
    <w:rsid w:val="599496AE"/>
    <w:rsid w:val="5A4A5F42"/>
    <w:rsid w:val="5C4498FC"/>
    <w:rsid w:val="5D81CF7E"/>
    <w:rsid w:val="5DF161D2"/>
    <w:rsid w:val="5F0C8079"/>
    <w:rsid w:val="6193D321"/>
    <w:rsid w:val="6542284D"/>
    <w:rsid w:val="664143CF"/>
    <w:rsid w:val="68D89019"/>
    <w:rsid w:val="6F5FB9A7"/>
    <w:rsid w:val="707BEEB9"/>
    <w:rsid w:val="70D1D303"/>
    <w:rsid w:val="7AAB0969"/>
    <w:rsid w:val="7D759E81"/>
    <w:rsid w:val="7E0C6C8B"/>
    <w:rsid w:val="7FA577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8A9B70"/>
  <w15:chartTrackingRefBased/>
  <w15:docId w15:val="{CCAAE6D1-E1BA-4E81-8062-1CD27E5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hAnsi="Century Gothic" w:eastAsiaTheme="majorEastAsia"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hAnsi="Century Gothic" w:eastAsiaTheme="majorEastAsia"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hAnsi="Century Gothic" w:eastAsiaTheme="majorEastAsia"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hAnsi="Century Gothic" w:eastAsiaTheme="majorEastAsia"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hAnsi="Century Gothic" w:eastAsiaTheme="majorEastAsia"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hAnsi="Century Gothic" w:eastAsiaTheme="majorEastAsia"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hAnsi="Century Gothic" w:eastAsiaTheme="majorEastAsia"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hAnsi="Century Gothic" w:eastAsiaTheme="majorEastAsia"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hAnsi="Century Gothic" w:eastAsiaTheme="majorEastAsia"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hAnsi="Century Gothic" w:eastAsiaTheme="majorEastAsia"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hAnsi="Century Gothic" w:eastAsiaTheme="minorEastAsia"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hAnsi="Century Gothic" w:eastAsiaTheme="minorEastAsia"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8"/>
      </w:numPr>
      <w:contextualSpacing/>
    </w:pPr>
  </w:style>
  <w:style w:type="character" w:customStyle="1" w:styleId="Heading8Char">
    <w:name w:val="Heading 8 Char"/>
    <w:basedOn w:val="DefaultParagraphFont"/>
    <w:link w:val="Heading8"/>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hAnsi="Century Gothic" w:eastAsiaTheme="majorEastAsia"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bscribecpuc.cpuc.ca.gov/fpss/Default.aspx" TargetMode="External" /><Relationship Id="rId11" Type="http://schemas.openxmlformats.org/officeDocument/2006/relationships/hyperlink" Target="http://www.docs.cpuc.ca.gov/p/A2209006" TargetMode="External" /><Relationship Id="rId12" Type="http://schemas.openxmlformats.org/officeDocument/2006/relationships/hyperlink" Target="mailto:projectinfo@socalgas.com" TargetMode="External" /><Relationship Id="rId13" Type="http://schemas.openxmlformats.org/officeDocument/2006/relationships/hyperlink" Target="https://www.cpuc.ca.gov/PAO/" TargetMode="External" /><Relationship Id="rId14" Type="http://schemas.openxmlformats.org/officeDocument/2006/relationships/hyperlink" Target="mailto:public.advisor@cpuc.c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puc.ca.gov/pph" TargetMode="External" /><Relationship Id="rId9" Type="http://schemas.openxmlformats.org/officeDocument/2006/relationships/hyperlink" Target="http://www.apps.cpuc.ca.gov/c/A2209006"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3.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4.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Bradley Leong</dc:creator>
  <cp:lastModifiedBy>Focus Interpreting</cp:lastModifiedBy>
  <cp:revision>30</cp:revision>
  <cp:lastPrinted>2020-05-15T20:59:00Z</cp:lastPrinted>
  <dcterms:created xsi:type="dcterms:W3CDTF">2025-06-10T23:30:00Z</dcterms:created>
  <dcterms:modified xsi:type="dcterms:W3CDTF">2025-08-11T18:58:00Z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